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5A6AB" w14:textId="29375757" w:rsidR="0085697F" w:rsidRPr="00BB2F8D" w:rsidRDefault="0085697F" w:rsidP="0085697F">
      <w:pPr>
        <w:jc w:val="center"/>
        <w:rPr>
          <w:rFonts w:ascii="Times New Roman" w:hAnsi="Times New Roman"/>
          <w:b/>
          <w:sz w:val="32"/>
          <w:szCs w:val="32"/>
        </w:rPr>
      </w:pPr>
      <w:r>
        <w:rPr>
          <w:noProof/>
        </w:rPr>
        <w:drawing>
          <wp:inline distT="0" distB="0" distL="0" distR="0" wp14:anchorId="7AFE9396" wp14:editId="04BFF0D7">
            <wp:extent cx="1838325" cy="18383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cstate="print">
                      <a:extLst>
                        <a:ext uri="{28A0092B-C50C-407E-A947-70E740481C1C}">
                          <a14:useLocalDpi xmlns:a14="http://schemas.microsoft.com/office/drawing/2010/main" val="0"/>
                        </a:ext>
                      </a:extLst>
                    </a:blip>
                    <a:srcRect l="-6773" t="-90" r="-6773" b="-90"/>
                    <a:stretch>
                      <a:fillRect/>
                    </a:stretch>
                  </pic:blipFill>
                  <pic:spPr>
                    <a:xfrm>
                      <a:off x="0" y="0"/>
                      <a:ext cx="1838325" cy="1838325"/>
                    </a:xfrm>
                    <a:prstGeom prst="rect">
                      <a:avLst/>
                    </a:prstGeom>
                  </pic:spPr>
                </pic:pic>
              </a:graphicData>
            </a:graphic>
          </wp:inline>
        </w:drawing>
      </w:r>
    </w:p>
    <w:p w14:paraId="7177D944" w14:textId="77777777" w:rsidR="0085697F" w:rsidRPr="00BB2F8D" w:rsidRDefault="0085697F" w:rsidP="0085697F">
      <w:pPr>
        <w:jc w:val="center"/>
        <w:rPr>
          <w:rFonts w:ascii="Times New Roman" w:hAnsi="Times New Roman"/>
          <w:b/>
          <w:sz w:val="48"/>
          <w:szCs w:val="40"/>
        </w:rPr>
      </w:pPr>
      <w:r w:rsidRPr="00BB2F8D">
        <w:rPr>
          <w:rFonts w:ascii="Times New Roman" w:hAnsi="Times New Roman"/>
          <w:b/>
          <w:sz w:val="48"/>
          <w:szCs w:val="40"/>
        </w:rPr>
        <w:t>STATE OF INDIANA</w:t>
      </w:r>
    </w:p>
    <w:p w14:paraId="1DD6FC2B" w14:textId="3D399378" w:rsidR="0085697F" w:rsidRPr="00505B46" w:rsidRDefault="0085697F" w:rsidP="0085697F">
      <w:pPr>
        <w:jc w:val="center"/>
        <w:rPr>
          <w:rFonts w:ascii="Times New Roman" w:hAnsi="Times New Roman"/>
          <w:b/>
          <w:sz w:val="24"/>
          <w:szCs w:val="40"/>
        </w:rPr>
      </w:pPr>
      <w:r w:rsidRPr="00505B46">
        <w:rPr>
          <w:rFonts w:ascii="Times New Roman" w:hAnsi="Times New Roman"/>
          <w:b/>
          <w:sz w:val="24"/>
          <w:szCs w:val="40"/>
        </w:rPr>
        <w:t xml:space="preserve">Request for Proposal </w:t>
      </w:r>
      <w:r w:rsidR="00D377A7">
        <w:rPr>
          <w:rFonts w:ascii="Times New Roman" w:hAnsi="Times New Roman"/>
          <w:b/>
          <w:sz w:val="24"/>
          <w:szCs w:val="40"/>
        </w:rPr>
        <w:t>21-66986</w:t>
      </w:r>
    </w:p>
    <w:p w14:paraId="5B94B7D7" w14:textId="2248361B" w:rsidR="0085697F" w:rsidRPr="00505B46" w:rsidRDefault="0085697F" w:rsidP="0085697F">
      <w:pPr>
        <w:jc w:val="center"/>
        <w:rPr>
          <w:rFonts w:ascii="Times New Roman" w:hAnsi="Times New Roman"/>
          <w:b/>
          <w:sz w:val="40"/>
          <w:szCs w:val="40"/>
        </w:rPr>
      </w:pPr>
      <w:r w:rsidRPr="00505B46">
        <w:rPr>
          <w:rFonts w:ascii="Times New Roman" w:hAnsi="Times New Roman"/>
          <w:b/>
          <w:sz w:val="40"/>
          <w:szCs w:val="40"/>
        </w:rPr>
        <w:t>Respondent Clarifications</w:t>
      </w:r>
      <w:r w:rsidR="00674023">
        <w:rPr>
          <w:rFonts w:ascii="Times New Roman" w:hAnsi="Times New Roman"/>
          <w:b/>
          <w:sz w:val="40"/>
          <w:szCs w:val="40"/>
        </w:rPr>
        <w:t xml:space="preserve"> Round 2</w:t>
      </w:r>
    </w:p>
    <w:p w14:paraId="735D921D" w14:textId="77777777" w:rsidR="0085697F" w:rsidRPr="00BB2F8D" w:rsidRDefault="0085697F" w:rsidP="0085697F">
      <w:pPr>
        <w:jc w:val="center"/>
        <w:rPr>
          <w:rFonts w:ascii="Times New Roman" w:hAnsi="Times New Roman"/>
          <w:b/>
          <w:sz w:val="32"/>
          <w:szCs w:val="32"/>
        </w:rPr>
      </w:pPr>
      <w:r w:rsidRPr="00BB2F8D">
        <w:rPr>
          <w:rFonts w:ascii="Times New Roman" w:hAnsi="Times New Roman"/>
          <w:b/>
          <w:sz w:val="32"/>
          <w:szCs w:val="32"/>
        </w:rPr>
        <w:t>INDIANA DEPARTMENT OF ADMINISTRATION</w:t>
      </w:r>
    </w:p>
    <w:p w14:paraId="67BB48A9" w14:textId="77777777" w:rsidR="0085697F" w:rsidRPr="00505B46" w:rsidRDefault="0085697F" w:rsidP="0085697F">
      <w:pPr>
        <w:jc w:val="center"/>
        <w:rPr>
          <w:rFonts w:ascii="Times New Roman" w:hAnsi="Times New Roman"/>
          <w:b/>
          <w:i/>
          <w:color w:val="000000"/>
          <w:sz w:val="24"/>
          <w:szCs w:val="32"/>
        </w:rPr>
      </w:pPr>
      <w:r w:rsidRPr="00505B46">
        <w:rPr>
          <w:rFonts w:ascii="Times New Roman" w:hAnsi="Times New Roman"/>
          <w:b/>
          <w:i/>
          <w:color w:val="000000"/>
          <w:sz w:val="24"/>
          <w:szCs w:val="32"/>
        </w:rPr>
        <w:t>On Behalf Of</w:t>
      </w:r>
    </w:p>
    <w:p w14:paraId="16DF6B6A" w14:textId="77777777" w:rsidR="0085697F" w:rsidRPr="00505B46" w:rsidRDefault="0085697F" w:rsidP="0085697F">
      <w:pPr>
        <w:jc w:val="center"/>
        <w:rPr>
          <w:rFonts w:ascii="Times New Roman" w:hAnsi="Times New Roman"/>
          <w:b/>
          <w:color w:val="000000"/>
          <w:sz w:val="36"/>
          <w:szCs w:val="32"/>
        </w:rPr>
      </w:pPr>
      <w:r w:rsidRPr="00505B46">
        <w:rPr>
          <w:rFonts w:ascii="Times New Roman" w:hAnsi="Times New Roman"/>
          <w:b/>
          <w:color w:val="000000"/>
          <w:sz w:val="36"/>
          <w:szCs w:val="32"/>
        </w:rPr>
        <w:t xml:space="preserve">The Indiana </w:t>
      </w:r>
      <w:r>
        <w:rPr>
          <w:rFonts w:ascii="Times New Roman" w:hAnsi="Times New Roman"/>
          <w:b/>
          <w:color w:val="000000"/>
          <w:sz w:val="36"/>
          <w:szCs w:val="32"/>
        </w:rPr>
        <w:t>Department of Environmental Management</w:t>
      </w:r>
    </w:p>
    <w:p w14:paraId="14288A31" w14:textId="77777777" w:rsidR="0085697F" w:rsidRPr="00505B46" w:rsidRDefault="0085697F" w:rsidP="0085697F">
      <w:pPr>
        <w:jc w:val="center"/>
        <w:rPr>
          <w:rFonts w:ascii="Times New Roman" w:hAnsi="Times New Roman"/>
          <w:b/>
          <w:i/>
          <w:sz w:val="24"/>
          <w:szCs w:val="32"/>
        </w:rPr>
      </w:pPr>
      <w:r w:rsidRPr="00505B46">
        <w:rPr>
          <w:rFonts w:ascii="Times New Roman" w:hAnsi="Times New Roman"/>
          <w:b/>
          <w:i/>
          <w:sz w:val="24"/>
          <w:szCs w:val="32"/>
        </w:rPr>
        <w:t>Request for Proposal Regarding:</w:t>
      </w:r>
    </w:p>
    <w:p w14:paraId="724A349E" w14:textId="395EA8DD" w:rsidR="0085697F" w:rsidRDefault="00D377A7" w:rsidP="0085697F">
      <w:pPr>
        <w:jc w:val="center"/>
        <w:rPr>
          <w:rFonts w:ascii="Times New Roman" w:hAnsi="Times New Roman"/>
          <w:b/>
          <w:sz w:val="32"/>
          <w:szCs w:val="32"/>
        </w:rPr>
      </w:pPr>
      <w:r>
        <w:rPr>
          <w:rFonts w:ascii="Times New Roman" w:hAnsi="Times New Roman"/>
          <w:b/>
          <w:sz w:val="32"/>
          <w:szCs w:val="32"/>
        </w:rPr>
        <w:t xml:space="preserve">Air DMS </w:t>
      </w:r>
    </w:p>
    <w:p w14:paraId="23D181CB" w14:textId="267B988D" w:rsidR="0085697F" w:rsidRDefault="00D377A7" w:rsidP="0085697F">
      <w:pPr>
        <w:jc w:val="center"/>
        <w:rPr>
          <w:rFonts w:ascii="Times New Roman" w:hAnsi="Times New Roman"/>
          <w:b/>
          <w:sz w:val="32"/>
          <w:szCs w:val="32"/>
        </w:rPr>
      </w:pPr>
      <w:r>
        <w:rPr>
          <w:rFonts w:ascii="Times New Roman" w:hAnsi="Times New Roman"/>
          <w:b/>
          <w:sz w:val="32"/>
          <w:szCs w:val="32"/>
        </w:rPr>
        <w:t>Agilaire</w:t>
      </w:r>
    </w:p>
    <w:p w14:paraId="376D0DE8" w14:textId="16073A1E" w:rsidR="0085697F" w:rsidRPr="00D95119" w:rsidRDefault="0085697F" w:rsidP="0085697F">
      <w:pPr>
        <w:jc w:val="center"/>
        <w:rPr>
          <w:rFonts w:ascii="Times New Roman" w:hAnsi="Times New Roman"/>
          <w:b/>
          <w:color w:val="FF0000"/>
          <w:sz w:val="28"/>
          <w:szCs w:val="28"/>
        </w:rPr>
      </w:pPr>
      <w:r w:rsidRPr="00505B46">
        <w:rPr>
          <w:rFonts w:ascii="Times New Roman" w:hAnsi="Times New Roman"/>
          <w:b/>
          <w:sz w:val="28"/>
          <w:szCs w:val="28"/>
        </w:rPr>
        <w:t>Clarification</w:t>
      </w:r>
      <w:r w:rsidR="007C2FDD">
        <w:rPr>
          <w:rFonts w:ascii="Times New Roman" w:hAnsi="Times New Roman"/>
          <w:b/>
          <w:sz w:val="28"/>
          <w:szCs w:val="28"/>
        </w:rPr>
        <w:t xml:space="preserve"> </w:t>
      </w:r>
      <w:r w:rsidRPr="00505B46">
        <w:rPr>
          <w:rFonts w:ascii="Times New Roman" w:hAnsi="Times New Roman"/>
          <w:b/>
          <w:sz w:val="28"/>
          <w:szCs w:val="28"/>
        </w:rPr>
        <w:t xml:space="preserve">Response Due Date: </w:t>
      </w:r>
      <w:r w:rsidR="00D377A7">
        <w:rPr>
          <w:rFonts w:ascii="Times New Roman" w:hAnsi="Times New Roman"/>
          <w:b/>
          <w:sz w:val="28"/>
          <w:szCs w:val="28"/>
        </w:rPr>
        <w:t xml:space="preserve">May </w:t>
      </w:r>
      <w:r w:rsidR="00674023">
        <w:rPr>
          <w:rFonts w:ascii="Times New Roman" w:hAnsi="Times New Roman"/>
          <w:b/>
          <w:sz w:val="28"/>
          <w:szCs w:val="28"/>
        </w:rPr>
        <w:t>26</w:t>
      </w:r>
      <w:r w:rsidR="00D377A7" w:rsidRPr="00D377A7">
        <w:rPr>
          <w:rFonts w:ascii="Times New Roman" w:hAnsi="Times New Roman"/>
          <w:b/>
          <w:sz w:val="28"/>
          <w:szCs w:val="28"/>
          <w:vertAlign w:val="superscript"/>
        </w:rPr>
        <w:t>th</w:t>
      </w:r>
      <w:r w:rsidR="00D377A7">
        <w:rPr>
          <w:rFonts w:ascii="Times New Roman" w:hAnsi="Times New Roman"/>
          <w:b/>
          <w:sz w:val="28"/>
          <w:szCs w:val="28"/>
        </w:rPr>
        <w:t xml:space="preserve"> by 3:00 PM Eastern</w:t>
      </w:r>
    </w:p>
    <w:p w14:paraId="450D48D3" w14:textId="2E4D3E88" w:rsidR="0085697F" w:rsidRDefault="0085697F" w:rsidP="0085697F">
      <w:pPr>
        <w:jc w:val="right"/>
        <w:rPr>
          <w:rFonts w:ascii="Times New Roman" w:hAnsi="Times New Roman"/>
          <w:b/>
          <w:sz w:val="28"/>
          <w:szCs w:val="28"/>
        </w:rPr>
      </w:pPr>
    </w:p>
    <w:p w14:paraId="6464B2A2" w14:textId="77777777" w:rsidR="00674023" w:rsidRDefault="00674023" w:rsidP="0085697F">
      <w:pPr>
        <w:jc w:val="right"/>
        <w:rPr>
          <w:rFonts w:ascii="Times New Roman" w:hAnsi="Times New Roman"/>
          <w:szCs w:val="24"/>
        </w:rPr>
      </w:pPr>
    </w:p>
    <w:p w14:paraId="29AFA0A5" w14:textId="77777777" w:rsidR="0085697F" w:rsidRDefault="0085697F" w:rsidP="0085697F">
      <w:pPr>
        <w:jc w:val="right"/>
        <w:rPr>
          <w:rFonts w:ascii="Times New Roman" w:hAnsi="Times New Roman"/>
          <w:szCs w:val="24"/>
        </w:rPr>
      </w:pPr>
    </w:p>
    <w:p w14:paraId="51B29330" w14:textId="77777777" w:rsidR="0085697F" w:rsidRPr="00BB2F8D" w:rsidRDefault="0085697F" w:rsidP="0085697F">
      <w:pPr>
        <w:jc w:val="right"/>
        <w:rPr>
          <w:rFonts w:ascii="Times New Roman" w:hAnsi="Times New Roman"/>
          <w:szCs w:val="24"/>
        </w:rPr>
      </w:pPr>
    </w:p>
    <w:p w14:paraId="4AC56996" w14:textId="77777777" w:rsidR="0085697F" w:rsidRPr="00BB2F8D" w:rsidRDefault="0085697F" w:rsidP="0085697F">
      <w:pPr>
        <w:spacing w:after="0"/>
        <w:jc w:val="right"/>
        <w:rPr>
          <w:rFonts w:ascii="Times New Roman" w:hAnsi="Times New Roman"/>
        </w:rPr>
      </w:pPr>
      <w:r>
        <w:rPr>
          <w:rFonts w:ascii="Times New Roman" w:hAnsi="Times New Roman"/>
        </w:rPr>
        <w:t>Stephanie Nelson, Senior Account Manager</w:t>
      </w:r>
    </w:p>
    <w:p w14:paraId="12706E78" w14:textId="77777777" w:rsidR="0085697F" w:rsidRPr="00BB2F8D" w:rsidRDefault="0085697F" w:rsidP="0085697F">
      <w:pPr>
        <w:spacing w:after="0"/>
        <w:jc w:val="right"/>
        <w:rPr>
          <w:rFonts w:ascii="Times New Roman" w:hAnsi="Times New Roman"/>
        </w:rPr>
      </w:pPr>
      <w:r w:rsidRPr="00BB2F8D">
        <w:rPr>
          <w:rFonts w:ascii="Times New Roman" w:hAnsi="Times New Roman"/>
        </w:rPr>
        <w:t>Indiana Department of Administration</w:t>
      </w:r>
    </w:p>
    <w:p w14:paraId="7E4AB64D" w14:textId="77777777" w:rsidR="0085697F" w:rsidRPr="00BB2F8D" w:rsidRDefault="0085697F" w:rsidP="0085697F">
      <w:pPr>
        <w:spacing w:after="0"/>
        <w:jc w:val="right"/>
        <w:rPr>
          <w:rFonts w:ascii="Times New Roman" w:hAnsi="Times New Roman"/>
        </w:rPr>
      </w:pPr>
      <w:r w:rsidRPr="00BB2F8D">
        <w:rPr>
          <w:rFonts w:ascii="Times New Roman" w:hAnsi="Times New Roman"/>
        </w:rPr>
        <w:t>Procurement Division</w:t>
      </w:r>
    </w:p>
    <w:p w14:paraId="13409778" w14:textId="77777777" w:rsidR="0085697F" w:rsidRPr="00BB2F8D" w:rsidRDefault="0085697F" w:rsidP="0085697F">
      <w:pPr>
        <w:spacing w:after="0"/>
        <w:jc w:val="right"/>
        <w:rPr>
          <w:rFonts w:ascii="Times New Roman" w:hAnsi="Times New Roman"/>
        </w:rPr>
      </w:pPr>
      <w:r>
        <w:rPr>
          <w:rFonts w:ascii="Times New Roman" w:hAnsi="Times New Roman"/>
        </w:rPr>
        <w:t>402 W. Washington St., Room W468</w:t>
      </w:r>
    </w:p>
    <w:p w14:paraId="2FFF94DC" w14:textId="77777777" w:rsidR="0085697F" w:rsidRDefault="0085697F" w:rsidP="0085697F">
      <w:pPr>
        <w:spacing w:after="0"/>
        <w:jc w:val="right"/>
        <w:rPr>
          <w:rFonts w:ascii="Times New Roman" w:hAnsi="Times New Roman"/>
        </w:rPr>
      </w:pPr>
      <w:r w:rsidRPr="00BB2F8D">
        <w:rPr>
          <w:rFonts w:ascii="Times New Roman" w:hAnsi="Times New Roman"/>
        </w:rPr>
        <w:t>Indianapolis, Indiana 46204</w:t>
      </w:r>
    </w:p>
    <w:p w14:paraId="41970849" w14:textId="77777777" w:rsidR="0085697F" w:rsidRDefault="0085697F" w:rsidP="58B63E20">
      <w:pPr>
        <w:rPr>
          <w:rFonts w:ascii="Times New Roman" w:eastAsia="Times New Roman" w:hAnsi="Times New Roman" w:cs="Times New Roman"/>
          <w:b/>
          <w:bCs/>
        </w:rPr>
      </w:pPr>
    </w:p>
    <w:p w14:paraId="563D4A66" w14:textId="77777777" w:rsidR="0085697F" w:rsidRDefault="0085697F" w:rsidP="58B63E20">
      <w:pPr>
        <w:rPr>
          <w:rFonts w:ascii="Times New Roman" w:eastAsia="Times New Roman" w:hAnsi="Times New Roman" w:cs="Times New Roman"/>
          <w:b/>
          <w:bCs/>
        </w:rPr>
      </w:pPr>
    </w:p>
    <w:p w14:paraId="749E2295" w14:textId="77777777" w:rsidR="00674023" w:rsidRDefault="00674023" w:rsidP="58B63E20">
      <w:pPr>
        <w:rPr>
          <w:rFonts w:ascii="Times New Roman" w:eastAsia="Times New Roman" w:hAnsi="Times New Roman" w:cs="Times New Roman"/>
        </w:rPr>
      </w:pPr>
    </w:p>
    <w:p w14:paraId="4E488A73" w14:textId="475074D0" w:rsidR="0085697F" w:rsidRPr="0085697F" w:rsidRDefault="0085697F" w:rsidP="58B63E20">
      <w:pPr>
        <w:rPr>
          <w:rFonts w:ascii="Times New Roman" w:eastAsia="Times New Roman" w:hAnsi="Times New Roman" w:cs="Times New Roman"/>
        </w:rPr>
      </w:pPr>
      <w:r w:rsidRPr="0085697F">
        <w:rPr>
          <w:rFonts w:ascii="Times New Roman" w:eastAsia="Times New Roman" w:hAnsi="Times New Roman" w:cs="Times New Roman"/>
        </w:rPr>
        <w:lastRenderedPageBreak/>
        <w:t>The follow items are requested of you:</w:t>
      </w:r>
    </w:p>
    <w:p w14:paraId="2C078E63" w14:textId="4BE8FCA3" w:rsidR="008542A1" w:rsidRDefault="12C18026" w:rsidP="58B63E20">
      <w:pPr>
        <w:rPr>
          <w:rFonts w:ascii="Times New Roman" w:eastAsia="Times New Roman" w:hAnsi="Times New Roman" w:cs="Times New Roman"/>
          <w:b/>
          <w:bCs/>
        </w:rPr>
      </w:pPr>
      <w:r w:rsidRPr="58B63E20">
        <w:rPr>
          <w:rFonts w:ascii="Times New Roman" w:eastAsia="Times New Roman" w:hAnsi="Times New Roman" w:cs="Times New Roman"/>
          <w:b/>
          <w:bCs/>
        </w:rPr>
        <w:t>Clarification Questions</w:t>
      </w:r>
      <w:r w:rsidR="68892317" w:rsidRPr="58B63E20">
        <w:rPr>
          <w:rFonts w:ascii="Times New Roman" w:eastAsia="Times New Roman" w:hAnsi="Times New Roman" w:cs="Times New Roman"/>
          <w:b/>
          <w:bCs/>
        </w:rPr>
        <w:t>:</w:t>
      </w:r>
    </w:p>
    <w:p w14:paraId="2DC03909" w14:textId="2A571497" w:rsidR="68892317" w:rsidRDefault="68892317" w:rsidP="58B63E20">
      <w:pPr>
        <w:rPr>
          <w:rFonts w:ascii="Times New Roman" w:eastAsia="Times New Roman" w:hAnsi="Times New Roman" w:cs="Times New Roman"/>
        </w:rPr>
      </w:pPr>
      <w:r w:rsidRPr="58B63E20">
        <w:rPr>
          <w:rFonts w:ascii="Times New Roman" w:eastAsia="Times New Roman" w:hAnsi="Times New Roman" w:cs="Times New Roman"/>
        </w:rPr>
        <w:t xml:space="preserve">The State requests </w:t>
      </w:r>
      <w:r w:rsidR="00674023">
        <w:rPr>
          <w:rFonts w:ascii="Times New Roman" w:eastAsia="Times New Roman" w:hAnsi="Times New Roman" w:cs="Times New Roman"/>
        </w:rPr>
        <w:t xml:space="preserve">written </w:t>
      </w:r>
      <w:r w:rsidRPr="58B63E20">
        <w:rPr>
          <w:rFonts w:ascii="Times New Roman" w:eastAsia="Times New Roman" w:hAnsi="Times New Roman" w:cs="Times New Roman"/>
        </w:rPr>
        <w:t>responses to the following questions</w:t>
      </w:r>
      <w:r w:rsidR="00674023">
        <w:rPr>
          <w:rFonts w:ascii="Times New Roman" w:eastAsia="Times New Roman" w:hAnsi="Times New Roman" w:cs="Times New Roman"/>
        </w:rPr>
        <w:t xml:space="preserve"> that were verbally asked during your oral presentation</w:t>
      </w:r>
      <w:r w:rsidRPr="58B63E20">
        <w:rPr>
          <w:rFonts w:ascii="Times New Roman" w:eastAsia="Times New Roman" w:hAnsi="Times New Roman" w:cs="Times New Roman"/>
        </w:rPr>
        <w:t xml:space="preserve">. All clarifications must be answered in writing and submitted by no later than the due date listed on page 1. Written responses should be submitted via email to Stephanie Nelson at </w:t>
      </w:r>
      <w:hyperlink r:id="rId12">
        <w:r w:rsidRPr="58B63E20">
          <w:rPr>
            <w:rStyle w:val="Hyperlink"/>
            <w:rFonts w:ascii="Times New Roman" w:eastAsia="Times New Roman" w:hAnsi="Times New Roman" w:cs="Times New Roman"/>
          </w:rPr>
          <w:t>SteNelson@idoa.IN.gov</w:t>
        </w:r>
      </w:hyperlink>
      <w:r w:rsidRPr="58B63E20">
        <w:rPr>
          <w:rFonts w:ascii="Times New Roman" w:eastAsia="Times New Roman" w:hAnsi="Times New Roman" w:cs="Times New Roman"/>
        </w:rPr>
        <w:t>.</w:t>
      </w:r>
    </w:p>
    <w:p w14:paraId="60C37F55" w14:textId="478EAC97" w:rsidR="009918B8" w:rsidRDefault="00674023" w:rsidP="00674023">
      <w:pPr>
        <w:pStyle w:val="ListParagraph"/>
        <w:numPr>
          <w:ilvl w:val="0"/>
          <w:numId w:val="6"/>
        </w:numPr>
        <w:spacing w:line="276" w:lineRule="auto"/>
        <w:jc w:val="both"/>
        <w:rPr>
          <w:rFonts w:ascii="Times New Roman" w:hAnsi="Times New Roman" w:cs="Times New Roman"/>
        </w:rPr>
      </w:pPr>
      <w:r w:rsidRPr="00674023">
        <w:rPr>
          <w:rFonts w:ascii="Times New Roman" w:hAnsi="Times New Roman" w:cs="Times New Roman"/>
        </w:rPr>
        <w:t>With one (production) environment being identified, how are updates/enhancements tested post go-live? Even if all software changes are built into the main product with each customer having their own ‘features/menus’, where do customers test new releases? Where does training occur? </w:t>
      </w:r>
    </w:p>
    <w:p w14:paraId="1E507B5D" w14:textId="77777777" w:rsidR="00661179" w:rsidRDefault="00661179" w:rsidP="007E64D2">
      <w:pPr>
        <w:spacing w:line="276" w:lineRule="auto"/>
        <w:ind w:left="720"/>
        <w:jc w:val="both"/>
        <w:rPr>
          <w:rFonts w:ascii="Times New Roman" w:hAnsi="Times New Roman" w:cs="Times New Roman"/>
          <w:color w:val="FF0000"/>
          <w:u w:val="single"/>
        </w:rPr>
      </w:pPr>
      <w:r>
        <w:rPr>
          <w:rFonts w:ascii="Times New Roman" w:hAnsi="Times New Roman" w:cs="Times New Roman"/>
          <w:color w:val="FF0000"/>
          <w:u w:val="single"/>
        </w:rPr>
        <w:t>Managing Enhancements</w:t>
      </w:r>
    </w:p>
    <w:p w14:paraId="670C6009" w14:textId="71387795" w:rsidR="0039176D" w:rsidRDefault="00430D6C" w:rsidP="007E64D2">
      <w:pPr>
        <w:spacing w:line="276" w:lineRule="auto"/>
        <w:ind w:left="720"/>
        <w:jc w:val="both"/>
        <w:rPr>
          <w:rFonts w:ascii="Times New Roman" w:hAnsi="Times New Roman" w:cs="Times New Roman"/>
          <w:color w:val="FF0000"/>
        </w:rPr>
      </w:pPr>
      <w:r>
        <w:rPr>
          <w:rFonts w:ascii="Times New Roman" w:hAnsi="Times New Roman" w:cs="Times New Roman"/>
          <w:color w:val="FF0000"/>
        </w:rPr>
        <w:t xml:space="preserve">Almost all </w:t>
      </w:r>
      <w:r w:rsidR="00E05B90">
        <w:rPr>
          <w:rFonts w:ascii="Times New Roman" w:hAnsi="Times New Roman" w:cs="Times New Roman"/>
          <w:color w:val="FF0000"/>
        </w:rPr>
        <w:t>existing AirVision agency users</w:t>
      </w:r>
      <w:r>
        <w:rPr>
          <w:rFonts w:ascii="Times New Roman" w:hAnsi="Times New Roman" w:cs="Times New Roman"/>
          <w:color w:val="FF0000"/>
        </w:rPr>
        <w:t xml:space="preserve"> do not operate test environments (only two that we know of), as most delivered enhancements represent low-risk items (reports that don’t change data) or enhancements that are specifically designed not to affect existing data</w:t>
      </w:r>
      <w:r w:rsidR="00E05B90">
        <w:rPr>
          <w:rFonts w:ascii="Times New Roman" w:hAnsi="Times New Roman" w:cs="Times New Roman"/>
          <w:color w:val="FF0000"/>
        </w:rPr>
        <w:t xml:space="preserve"> (e.g., enhancements like AV-Doc, etc).   New functionality is always designed not to negatively affect any existing functionality, and often </w:t>
      </w:r>
      <w:r w:rsidR="0039176D">
        <w:rPr>
          <w:rFonts w:ascii="Times New Roman" w:hAnsi="Times New Roman" w:cs="Times New Roman"/>
          <w:color w:val="FF0000"/>
        </w:rPr>
        <w:t xml:space="preserve">is additive and </w:t>
      </w:r>
      <w:r w:rsidR="00E05B90">
        <w:rPr>
          <w:rFonts w:ascii="Times New Roman" w:hAnsi="Times New Roman" w:cs="Times New Roman"/>
          <w:color w:val="FF0000"/>
        </w:rPr>
        <w:t xml:space="preserve">requires additional setup by the user to enable, if it would affect functionality (e.g., the enhancement to </w:t>
      </w:r>
      <w:r w:rsidR="00E678E1">
        <w:rPr>
          <w:rFonts w:ascii="Times New Roman" w:hAnsi="Times New Roman" w:cs="Times New Roman"/>
          <w:color w:val="FF0000"/>
        </w:rPr>
        <w:t xml:space="preserve">support use of the AirNow API’s ‘magic formula’ for ozone </w:t>
      </w:r>
      <w:r w:rsidR="00661179">
        <w:rPr>
          <w:rFonts w:ascii="Times New Roman" w:hAnsi="Times New Roman" w:cs="Times New Roman"/>
          <w:color w:val="FF0000"/>
        </w:rPr>
        <w:t xml:space="preserve">AQI </w:t>
      </w:r>
      <w:r w:rsidR="00E678E1">
        <w:rPr>
          <w:rFonts w:ascii="Times New Roman" w:hAnsi="Times New Roman" w:cs="Times New Roman"/>
          <w:color w:val="FF0000"/>
        </w:rPr>
        <w:t>forecasting requires additional configuration to elect this option- agencies who had existing settings to use the NowCast were not affected, and the NowCast is still supported</w:t>
      </w:r>
      <w:r w:rsidR="00E05B90">
        <w:rPr>
          <w:rFonts w:ascii="Times New Roman" w:hAnsi="Times New Roman" w:cs="Times New Roman"/>
          <w:color w:val="FF0000"/>
        </w:rPr>
        <w:t>)</w:t>
      </w:r>
      <w:r>
        <w:rPr>
          <w:rFonts w:ascii="Times New Roman" w:hAnsi="Times New Roman" w:cs="Times New Roman"/>
          <w:color w:val="FF0000"/>
        </w:rPr>
        <w:t xml:space="preserve">.    </w:t>
      </w:r>
      <w:r w:rsidR="0039176D">
        <w:rPr>
          <w:rFonts w:ascii="Times New Roman" w:hAnsi="Times New Roman" w:cs="Times New Roman"/>
          <w:color w:val="FF0000"/>
        </w:rPr>
        <w:t>If the agency finds an additive feature unacceptable in some way, they can provide feedback for our next release, and not use the new feature (like the AirNow API).</w:t>
      </w:r>
    </w:p>
    <w:p w14:paraId="6F707189" w14:textId="2CAFD979" w:rsidR="00430D6C" w:rsidRDefault="00430D6C" w:rsidP="007E64D2">
      <w:pPr>
        <w:spacing w:line="276" w:lineRule="auto"/>
        <w:ind w:left="720"/>
        <w:jc w:val="both"/>
        <w:rPr>
          <w:rFonts w:ascii="Times New Roman" w:hAnsi="Times New Roman" w:cs="Times New Roman"/>
          <w:color w:val="FF0000"/>
        </w:rPr>
      </w:pPr>
      <w:r>
        <w:rPr>
          <w:rFonts w:ascii="Times New Roman" w:hAnsi="Times New Roman" w:cs="Times New Roman"/>
          <w:color w:val="FF0000"/>
        </w:rPr>
        <w:t>Feature enhancements that would affect data</w:t>
      </w:r>
      <w:r w:rsidR="00B06678">
        <w:rPr>
          <w:rFonts w:ascii="Times New Roman" w:hAnsi="Times New Roman" w:cs="Times New Roman"/>
          <w:color w:val="FF0000"/>
        </w:rPr>
        <w:t xml:space="preserve"> and are applicable to all users (e.g., no disable option)</w:t>
      </w:r>
      <w:r>
        <w:rPr>
          <w:rFonts w:ascii="Times New Roman" w:hAnsi="Times New Roman" w:cs="Times New Roman"/>
          <w:color w:val="FF0000"/>
        </w:rPr>
        <w:t xml:space="preserve"> receive stringent internal testing and are beta tested by volunteer beta test customers before general release.</w:t>
      </w:r>
    </w:p>
    <w:p w14:paraId="16B49516" w14:textId="5347B1C3" w:rsidR="00430D6C" w:rsidRDefault="00430D6C" w:rsidP="007E64D2">
      <w:pPr>
        <w:spacing w:line="276" w:lineRule="auto"/>
        <w:ind w:left="720"/>
        <w:jc w:val="both"/>
        <w:rPr>
          <w:rFonts w:ascii="Times New Roman" w:hAnsi="Times New Roman" w:cs="Times New Roman"/>
          <w:color w:val="FF0000"/>
        </w:rPr>
      </w:pPr>
      <w:r>
        <w:rPr>
          <w:rFonts w:ascii="Times New Roman" w:hAnsi="Times New Roman" w:cs="Times New Roman"/>
          <w:color w:val="FF0000"/>
        </w:rPr>
        <w:t xml:space="preserve">In cases where a customer has identified an issue that is being resolved with a fix, Agilaire will receive an </w:t>
      </w:r>
      <w:r w:rsidR="00E05B90">
        <w:rPr>
          <w:rFonts w:ascii="Times New Roman" w:hAnsi="Times New Roman" w:cs="Times New Roman"/>
          <w:color w:val="FF0000"/>
        </w:rPr>
        <w:t xml:space="preserve">Export file </w:t>
      </w:r>
      <w:r>
        <w:rPr>
          <w:rFonts w:ascii="Times New Roman" w:hAnsi="Times New Roman" w:cs="Times New Roman"/>
          <w:color w:val="FF0000"/>
        </w:rPr>
        <w:t>of the complete customer</w:t>
      </w:r>
      <w:r w:rsidR="00E05B90">
        <w:rPr>
          <w:rFonts w:ascii="Times New Roman" w:hAnsi="Times New Roman" w:cs="Times New Roman"/>
          <w:color w:val="FF0000"/>
        </w:rPr>
        <w:t>’s</w:t>
      </w:r>
      <w:r>
        <w:rPr>
          <w:rFonts w:ascii="Times New Roman" w:hAnsi="Times New Roman" w:cs="Times New Roman"/>
          <w:color w:val="FF0000"/>
        </w:rPr>
        <w:t xml:space="preserve"> configuration, with particular test data if needed (or using randomly generated data if the problem is not data-specific), allowing Agilaire to test the new version and confirm resolution of the reported issue before it goes into a published release.</w:t>
      </w:r>
    </w:p>
    <w:p w14:paraId="1D5094BA" w14:textId="77777777" w:rsidR="00661179" w:rsidRDefault="00661179" w:rsidP="007E64D2">
      <w:pPr>
        <w:spacing w:line="276" w:lineRule="auto"/>
        <w:ind w:left="720"/>
        <w:jc w:val="both"/>
        <w:rPr>
          <w:rFonts w:ascii="Times New Roman" w:hAnsi="Times New Roman" w:cs="Times New Roman"/>
          <w:color w:val="FF0000"/>
          <w:u w:val="single"/>
        </w:rPr>
      </w:pPr>
      <w:r>
        <w:rPr>
          <w:rFonts w:ascii="Times New Roman" w:hAnsi="Times New Roman" w:cs="Times New Roman"/>
          <w:color w:val="FF0000"/>
          <w:u w:val="single"/>
        </w:rPr>
        <w:t>Training</w:t>
      </w:r>
    </w:p>
    <w:p w14:paraId="477FE769" w14:textId="225E78E4" w:rsidR="007E64D2" w:rsidRDefault="00E678E1" w:rsidP="007E64D2">
      <w:pPr>
        <w:spacing w:line="276" w:lineRule="auto"/>
        <w:ind w:left="720"/>
        <w:jc w:val="both"/>
        <w:rPr>
          <w:rFonts w:ascii="Times New Roman" w:hAnsi="Times New Roman" w:cs="Times New Roman"/>
          <w:color w:val="FF0000"/>
        </w:rPr>
      </w:pPr>
      <w:r>
        <w:rPr>
          <w:rFonts w:ascii="Times New Roman" w:hAnsi="Times New Roman" w:cs="Times New Roman"/>
          <w:color w:val="FF0000"/>
        </w:rPr>
        <w:t>For this project, a</w:t>
      </w:r>
      <w:r w:rsidR="00430D6C">
        <w:rPr>
          <w:rFonts w:ascii="Times New Roman" w:hAnsi="Times New Roman" w:cs="Times New Roman"/>
          <w:color w:val="FF0000"/>
        </w:rPr>
        <w:t xml:space="preserve"> more modest ‘sandbox’ hosted system can be provided as an option</w:t>
      </w:r>
      <w:r w:rsidR="002E33CF">
        <w:rPr>
          <w:rFonts w:ascii="Times New Roman" w:hAnsi="Times New Roman" w:cs="Times New Roman"/>
          <w:color w:val="FF0000"/>
        </w:rPr>
        <w:t xml:space="preserve"> / change order</w:t>
      </w:r>
      <w:r w:rsidR="00430D6C">
        <w:rPr>
          <w:rFonts w:ascii="Times New Roman" w:hAnsi="Times New Roman" w:cs="Times New Roman"/>
          <w:color w:val="FF0000"/>
        </w:rPr>
        <w:t xml:space="preserve">, and decommissioned if IDEM determines the system to be of minimal value after a year or two of experience with AirVision and our release process / release controls. </w:t>
      </w:r>
    </w:p>
    <w:p w14:paraId="4585FB9D" w14:textId="6EE8D010" w:rsidR="007E64D2" w:rsidRDefault="007E64D2" w:rsidP="007E64D2">
      <w:pPr>
        <w:spacing w:line="276" w:lineRule="auto"/>
        <w:ind w:left="720"/>
        <w:jc w:val="both"/>
        <w:rPr>
          <w:rFonts w:ascii="Times New Roman" w:hAnsi="Times New Roman" w:cs="Times New Roman"/>
          <w:color w:val="FF0000"/>
        </w:rPr>
      </w:pPr>
      <w:r>
        <w:rPr>
          <w:rFonts w:ascii="Times New Roman" w:hAnsi="Times New Roman" w:cs="Times New Roman"/>
          <w:color w:val="FF0000"/>
        </w:rPr>
        <w:t xml:space="preserve">For the initial training, we would have a </w:t>
      </w:r>
      <w:r w:rsidR="00430D6C">
        <w:rPr>
          <w:rFonts w:ascii="Times New Roman" w:hAnsi="Times New Roman" w:cs="Times New Roman"/>
          <w:color w:val="FF0000"/>
        </w:rPr>
        <w:t>copy / sandbox</w:t>
      </w:r>
      <w:r>
        <w:rPr>
          <w:rFonts w:ascii="Times New Roman" w:hAnsi="Times New Roman" w:cs="Times New Roman"/>
          <w:color w:val="FF0000"/>
        </w:rPr>
        <w:t xml:space="preserve"> system</w:t>
      </w:r>
      <w:r w:rsidR="0039176D">
        <w:rPr>
          <w:rFonts w:ascii="Times New Roman" w:hAnsi="Times New Roman" w:cs="Times New Roman"/>
          <w:color w:val="FF0000"/>
        </w:rPr>
        <w:t xml:space="preserve"> (trainer’s computer), </w:t>
      </w:r>
      <w:r>
        <w:rPr>
          <w:rFonts w:ascii="Times New Roman" w:hAnsi="Times New Roman" w:cs="Times New Roman"/>
          <w:color w:val="FF0000"/>
        </w:rPr>
        <w:t xml:space="preserve"> loaded with IDEM sites and parameters from the </w:t>
      </w:r>
      <w:r w:rsidR="00430D6C">
        <w:rPr>
          <w:rFonts w:ascii="Times New Roman" w:hAnsi="Times New Roman" w:cs="Times New Roman"/>
          <w:color w:val="FF0000"/>
        </w:rPr>
        <w:t>configuration information inquiry, and generated random test data (or imported AQS data, if provided).   Some elements of training may revert to a standard test/training database to present specific concepts with a particular data set (e.g., an annual report).</w:t>
      </w:r>
    </w:p>
    <w:p w14:paraId="4BAA862A" w14:textId="3AFF2BC0" w:rsidR="00430D6C" w:rsidRDefault="00430D6C" w:rsidP="007E64D2">
      <w:pPr>
        <w:spacing w:line="276" w:lineRule="auto"/>
        <w:ind w:left="720"/>
        <w:jc w:val="both"/>
        <w:rPr>
          <w:rFonts w:ascii="Times New Roman" w:hAnsi="Times New Roman" w:cs="Times New Roman"/>
          <w:color w:val="FF0000"/>
        </w:rPr>
      </w:pPr>
      <w:r>
        <w:rPr>
          <w:rFonts w:ascii="Times New Roman" w:hAnsi="Times New Roman" w:cs="Times New Roman"/>
          <w:color w:val="FF0000"/>
        </w:rPr>
        <w:t>For the secondary / follow-on training, the system should be fairly complete with polled and/or imported data, and this training would be done on a copy / sandbox of the IDEM database</w:t>
      </w:r>
      <w:r w:rsidR="0039176D">
        <w:rPr>
          <w:rFonts w:ascii="Times New Roman" w:hAnsi="Times New Roman" w:cs="Times New Roman"/>
          <w:color w:val="FF0000"/>
        </w:rPr>
        <w:t xml:space="preserve"> </w:t>
      </w:r>
      <w:r>
        <w:rPr>
          <w:rFonts w:ascii="Times New Roman" w:hAnsi="Times New Roman" w:cs="Times New Roman"/>
          <w:color w:val="FF0000"/>
        </w:rPr>
        <w:t>from a backup of the live system a few days prior to training.</w:t>
      </w:r>
    </w:p>
    <w:p w14:paraId="29F72B19" w14:textId="4D10E5FB" w:rsidR="00430D6C" w:rsidRDefault="00430D6C" w:rsidP="007E64D2">
      <w:pPr>
        <w:spacing w:line="276" w:lineRule="auto"/>
        <w:ind w:left="720"/>
        <w:jc w:val="both"/>
        <w:rPr>
          <w:rFonts w:ascii="Times New Roman" w:hAnsi="Times New Roman" w:cs="Times New Roman"/>
          <w:color w:val="FF0000"/>
        </w:rPr>
      </w:pPr>
      <w:r>
        <w:rPr>
          <w:rFonts w:ascii="Times New Roman" w:hAnsi="Times New Roman" w:cs="Times New Roman"/>
          <w:color w:val="FF0000"/>
        </w:rPr>
        <w:lastRenderedPageBreak/>
        <w:t xml:space="preserve">For training competency testing, we would use a standard training test database, which </w:t>
      </w:r>
      <w:r w:rsidR="00CE59B3">
        <w:rPr>
          <w:rFonts w:ascii="Times New Roman" w:hAnsi="Times New Roman" w:cs="Times New Roman"/>
          <w:color w:val="FF0000"/>
        </w:rPr>
        <w:t>would</w:t>
      </w:r>
      <w:r>
        <w:rPr>
          <w:rFonts w:ascii="Times New Roman" w:hAnsi="Times New Roman" w:cs="Times New Roman"/>
          <w:color w:val="FF0000"/>
        </w:rPr>
        <w:t xml:space="preserve"> not be </w:t>
      </w:r>
      <w:r w:rsidR="00CE59B3">
        <w:rPr>
          <w:rFonts w:ascii="Times New Roman" w:hAnsi="Times New Roman" w:cs="Times New Roman"/>
          <w:color w:val="FF0000"/>
        </w:rPr>
        <w:t xml:space="preserve">based on the </w:t>
      </w:r>
      <w:r>
        <w:rPr>
          <w:rFonts w:ascii="Times New Roman" w:hAnsi="Times New Roman" w:cs="Times New Roman"/>
          <w:color w:val="FF0000"/>
        </w:rPr>
        <w:t>IDEM system</w:t>
      </w:r>
      <w:r w:rsidR="00CE59B3">
        <w:rPr>
          <w:rFonts w:ascii="Times New Roman" w:hAnsi="Times New Roman" w:cs="Times New Roman"/>
          <w:color w:val="FF0000"/>
        </w:rPr>
        <w:t xml:space="preserve"> specifically</w:t>
      </w:r>
      <w:r>
        <w:rPr>
          <w:rFonts w:ascii="Times New Roman" w:hAnsi="Times New Roman" w:cs="Times New Roman"/>
          <w:color w:val="FF0000"/>
        </w:rPr>
        <w:t>, as the testing would cover concepts in a more general sense (and may test</w:t>
      </w:r>
      <w:r w:rsidR="00CE59B3">
        <w:rPr>
          <w:rFonts w:ascii="Times New Roman" w:hAnsi="Times New Roman" w:cs="Times New Roman"/>
          <w:color w:val="FF0000"/>
        </w:rPr>
        <w:t xml:space="preserve"> competency of features/concepts not yet implemented by IDEM at that point in the project).</w:t>
      </w:r>
    </w:p>
    <w:p w14:paraId="1C539E0F" w14:textId="28506250" w:rsidR="00EE5A78" w:rsidRDefault="00EE5A78" w:rsidP="007E64D2">
      <w:pPr>
        <w:spacing w:line="276" w:lineRule="auto"/>
        <w:ind w:left="720"/>
        <w:jc w:val="both"/>
        <w:rPr>
          <w:rFonts w:ascii="Times New Roman" w:hAnsi="Times New Roman" w:cs="Times New Roman"/>
          <w:color w:val="FF0000"/>
        </w:rPr>
      </w:pPr>
      <w:r>
        <w:rPr>
          <w:rFonts w:ascii="Times New Roman" w:hAnsi="Times New Roman" w:cs="Times New Roman"/>
          <w:color w:val="FF0000"/>
        </w:rPr>
        <w:t xml:space="preserve">Training for new features is generally provided by application notes and/or online tutorial videos covering new features.   </w:t>
      </w:r>
      <w:r w:rsidR="00E86000">
        <w:rPr>
          <w:rFonts w:ascii="Times New Roman" w:hAnsi="Times New Roman" w:cs="Times New Roman"/>
          <w:color w:val="FF0000"/>
        </w:rPr>
        <w:t>A few</w:t>
      </w:r>
      <w:r>
        <w:rPr>
          <w:rFonts w:ascii="Times New Roman" w:hAnsi="Times New Roman" w:cs="Times New Roman"/>
          <w:color w:val="FF0000"/>
        </w:rPr>
        <w:t xml:space="preserve"> customers utilize support plans with additional hours of non-scope items for configuration and training (such a plan could not be structured into our RFP response)</w:t>
      </w:r>
      <w:r w:rsidR="00E86000">
        <w:rPr>
          <w:rFonts w:ascii="Times New Roman" w:hAnsi="Times New Roman" w:cs="Times New Roman"/>
          <w:color w:val="FF0000"/>
        </w:rPr>
        <w:t>.</w:t>
      </w:r>
    </w:p>
    <w:p w14:paraId="62B071C2" w14:textId="77777777" w:rsidR="00BF2273" w:rsidRDefault="00BF2273" w:rsidP="00BF2273">
      <w:pPr>
        <w:spacing w:line="276" w:lineRule="auto"/>
        <w:ind w:left="720"/>
        <w:jc w:val="both"/>
        <w:rPr>
          <w:rFonts w:ascii="Times New Roman" w:hAnsi="Times New Roman" w:cs="Times New Roman"/>
          <w:i/>
          <w:iCs/>
          <w:color w:val="FF0000"/>
        </w:rPr>
      </w:pPr>
      <w:r>
        <w:rPr>
          <w:rFonts w:ascii="Times New Roman" w:hAnsi="Times New Roman" w:cs="Times New Roman"/>
          <w:i/>
          <w:iCs/>
          <w:color w:val="FF0000"/>
        </w:rPr>
        <w:t>An excerpt of recent release notes and the nature of applicability of the above concepts are included as an appendix to this document.</w:t>
      </w:r>
    </w:p>
    <w:p w14:paraId="7597BE9C" w14:textId="2608F8CC" w:rsidR="00674023" w:rsidRDefault="009918B8" w:rsidP="00BF2273">
      <w:pPr>
        <w:spacing w:line="276" w:lineRule="auto"/>
        <w:ind w:left="720"/>
        <w:jc w:val="both"/>
        <w:rPr>
          <w:rFonts w:ascii="Times New Roman" w:hAnsi="Times New Roman" w:cs="Times New Roman"/>
        </w:rPr>
      </w:pPr>
      <w:r>
        <w:rPr>
          <w:rFonts w:ascii="Times New Roman" w:hAnsi="Times New Roman" w:cs="Times New Roman"/>
        </w:rPr>
        <w:br/>
      </w:r>
    </w:p>
    <w:p w14:paraId="570A7CC9" w14:textId="12F101B4" w:rsidR="00D603CB" w:rsidRDefault="00674023" w:rsidP="00110C79">
      <w:pPr>
        <w:pStyle w:val="ListParagraph"/>
        <w:numPr>
          <w:ilvl w:val="0"/>
          <w:numId w:val="6"/>
        </w:numPr>
        <w:spacing w:line="276" w:lineRule="auto"/>
        <w:jc w:val="both"/>
        <w:rPr>
          <w:rFonts w:ascii="Times New Roman" w:hAnsi="Times New Roman" w:cs="Times New Roman"/>
          <w:color w:val="FF0000"/>
        </w:rPr>
      </w:pPr>
      <w:r w:rsidRPr="00D603CB">
        <w:rPr>
          <w:rFonts w:ascii="Times New Roman" w:hAnsi="Times New Roman" w:cs="Times New Roman"/>
        </w:rPr>
        <w:t>Has a customer ever had to roll back a change that was deployed to production? How was that handled? </w:t>
      </w:r>
      <w:r w:rsidR="009918B8" w:rsidRPr="00D603CB">
        <w:rPr>
          <w:rFonts w:ascii="Times New Roman" w:hAnsi="Times New Roman" w:cs="Times New Roman"/>
        </w:rPr>
        <w:br/>
      </w:r>
      <w:r w:rsidR="009918B8" w:rsidRPr="00D603CB">
        <w:rPr>
          <w:rFonts w:ascii="Times New Roman" w:hAnsi="Times New Roman" w:cs="Times New Roman"/>
        </w:rPr>
        <w:br/>
      </w:r>
      <w:r w:rsidR="00CE59B3" w:rsidRPr="00D603CB">
        <w:rPr>
          <w:rFonts w:ascii="Times New Roman" w:hAnsi="Times New Roman" w:cs="Times New Roman"/>
          <w:color w:val="FF0000"/>
        </w:rPr>
        <w:t>There are cases of unsuccessful installations, based on a failure of the utility that updates the database schema</w:t>
      </w:r>
      <w:r w:rsidR="00D775E4">
        <w:rPr>
          <w:rFonts w:ascii="Times New Roman" w:hAnsi="Times New Roman" w:cs="Times New Roman"/>
          <w:color w:val="FF0000"/>
        </w:rPr>
        <w:t>.  This is usually caused by a</w:t>
      </w:r>
      <w:r w:rsidR="00CE59B3" w:rsidRPr="00D603CB">
        <w:rPr>
          <w:rFonts w:ascii="Times New Roman" w:hAnsi="Times New Roman" w:cs="Times New Roman"/>
          <w:color w:val="FF0000"/>
        </w:rPr>
        <w:t xml:space="preserve"> change to database permissions from IT, or perhaps a user has deleted a database element like an instrument driver that the schema update is trying to update or reference.    The former case wouldn’t exist within an Agilaire-hosted system, and the latter case is </w:t>
      </w:r>
      <w:r w:rsidR="00E86000">
        <w:rPr>
          <w:rFonts w:ascii="Times New Roman" w:hAnsi="Times New Roman" w:cs="Times New Roman"/>
          <w:color w:val="FF0000"/>
        </w:rPr>
        <w:t>managed</w:t>
      </w:r>
      <w:r w:rsidR="00CE59B3" w:rsidRPr="00D603CB">
        <w:rPr>
          <w:rFonts w:ascii="Times New Roman" w:hAnsi="Times New Roman" w:cs="Times New Roman"/>
          <w:color w:val="FF0000"/>
        </w:rPr>
        <w:t xml:space="preserve"> in hosted systems by </w:t>
      </w:r>
      <w:r w:rsidR="00E86000">
        <w:rPr>
          <w:rFonts w:ascii="Times New Roman" w:hAnsi="Times New Roman" w:cs="Times New Roman"/>
          <w:color w:val="FF0000"/>
        </w:rPr>
        <w:t>immediate rollback and mitigation by the Agilaire staff.</w:t>
      </w:r>
    </w:p>
    <w:p w14:paraId="76894831" w14:textId="5815574B" w:rsidR="00CE59B3" w:rsidRPr="00D603CB" w:rsidRDefault="00CE59B3" w:rsidP="00D603CB">
      <w:pPr>
        <w:pStyle w:val="ListParagraph"/>
        <w:spacing w:line="276" w:lineRule="auto"/>
        <w:jc w:val="both"/>
        <w:rPr>
          <w:rFonts w:ascii="Times New Roman" w:hAnsi="Times New Roman" w:cs="Times New Roman"/>
          <w:color w:val="FF0000"/>
        </w:rPr>
      </w:pPr>
      <w:r w:rsidRPr="00D603CB">
        <w:rPr>
          <w:rFonts w:ascii="Times New Roman" w:hAnsi="Times New Roman" w:cs="Times New Roman"/>
          <w:color w:val="FF0000"/>
        </w:rPr>
        <w:t xml:space="preserve">   </w:t>
      </w:r>
      <w:r w:rsidRPr="00D603CB">
        <w:rPr>
          <w:rFonts w:ascii="Times New Roman" w:hAnsi="Times New Roman" w:cs="Times New Roman"/>
          <w:color w:val="FF0000"/>
        </w:rPr>
        <w:br/>
        <w:t>For self-hosted systems, even in those cases, a failed schema update leaves the database in the condition matching the previous version (e.g., the update effectively implements as a single transaction</w:t>
      </w:r>
      <w:r w:rsidR="00D603CB">
        <w:rPr>
          <w:rFonts w:ascii="Times New Roman" w:hAnsi="Times New Roman" w:cs="Times New Roman"/>
          <w:color w:val="FF0000"/>
        </w:rPr>
        <w:t>, so the failure of any piece of the update script leaves the database as is</w:t>
      </w:r>
      <w:r w:rsidRPr="00D603CB">
        <w:rPr>
          <w:rFonts w:ascii="Times New Roman" w:hAnsi="Times New Roman" w:cs="Times New Roman"/>
          <w:color w:val="FF0000"/>
        </w:rPr>
        <w:t>)</w:t>
      </w:r>
      <w:r w:rsidR="00D603CB">
        <w:rPr>
          <w:rFonts w:ascii="Times New Roman" w:hAnsi="Times New Roman" w:cs="Times New Roman"/>
          <w:color w:val="FF0000"/>
        </w:rPr>
        <w:t>.   T</w:t>
      </w:r>
      <w:r w:rsidRPr="00D603CB">
        <w:rPr>
          <w:rFonts w:ascii="Times New Roman" w:hAnsi="Times New Roman" w:cs="Times New Roman"/>
          <w:color w:val="FF0000"/>
        </w:rPr>
        <w:t>he user needs only uninstall the new version and re-install the old version</w:t>
      </w:r>
      <w:r w:rsidR="00D775E4">
        <w:rPr>
          <w:rFonts w:ascii="Times New Roman" w:hAnsi="Times New Roman" w:cs="Times New Roman"/>
          <w:color w:val="FF0000"/>
        </w:rPr>
        <w:t xml:space="preserve"> (</w:t>
      </w:r>
      <w:r w:rsidR="006579E6">
        <w:rPr>
          <w:rFonts w:ascii="Times New Roman" w:hAnsi="Times New Roman" w:cs="Times New Roman"/>
          <w:color w:val="FF0000"/>
        </w:rPr>
        <w:t xml:space="preserve">Simple </w:t>
      </w:r>
      <w:r w:rsidR="00D775E4">
        <w:rPr>
          <w:rFonts w:ascii="Times New Roman" w:hAnsi="Times New Roman" w:cs="Times New Roman"/>
          <w:color w:val="FF0000"/>
        </w:rPr>
        <w:t>.msi installer)</w:t>
      </w:r>
      <w:r w:rsidRPr="00D603CB">
        <w:rPr>
          <w:rFonts w:ascii="Times New Roman" w:hAnsi="Times New Roman" w:cs="Times New Roman"/>
          <w:color w:val="FF0000"/>
        </w:rPr>
        <w:t xml:space="preserve"> to be back in operation (~ 5 minutes).</w:t>
      </w:r>
    </w:p>
    <w:p w14:paraId="5D849E8E" w14:textId="24325C71" w:rsidR="00CE59B3" w:rsidRDefault="00CE59B3" w:rsidP="00CE59B3">
      <w:pPr>
        <w:pStyle w:val="ListParagraph"/>
        <w:spacing w:line="276" w:lineRule="auto"/>
        <w:jc w:val="both"/>
        <w:rPr>
          <w:rFonts w:ascii="Times New Roman" w:hAnsi="Times New Roman" w:cs="Times New Roman"/>
          <w:color w:val="FF0000"/>
        </w:rPr>
      </w:pPr>
      <w:r>
        <w:rPr>
          <w:rFonts w:ascii="Times New Roman" w:hAnsi="Times New Roman" w:cs="Times New Roman"/>
          <w:color w:val="FF0000"/>
        </w:rPr>
        <w:br/>
        <w:t>For installations that complete successfully</w:t>
      </w:r>
      <w:r w:rsidR="00D71503">
        <w:rPr>
          <w:rFonts w:ascii="Times New Roman" w:hAnsi="Times New Roman" w:cs="Times New Roman"/>
          <w:color w:val="FF0000"/>
        </w:rPr>
        <w:t xml:space="preserve"> and an issue is identified later</w:t>
      </w:r>
      <w:r w:rsidR="00E86000">
        <w:rPr>
          <w:rFonts w:ascii="Times New Roman" w:hAnsi="Times New Roman" w:cs="Times New Roman"/>
          <w:color w:val="FF0000"/>
        </w:rPr>
        <w:t xml:space="preserve"> that required rollback</w:t>
      </w:r>
      <w:r w:rsidR="00D71503">
        <w:rPr>
          <w:rFonts w:ascii="Times New Roman" w:hAnsi="Times New Roman" w:cs="Times New Roman"/>
          <w:color w:val="FF0000"/>
        </w:rPr>
        <w:t>-</w:t>
      </w:r>
      <w:r>
        <w:rPr>
          <w:rFonts w:ascii="Times New Roman" w:hAnsi="Times New Roman" w:cs="Times New Roman"/>
          <w:color w:val="FF0000"/>
        </w:rPr>
        <w:t xml:space="preserve"> this is a very rare occurrence</w:t>
      </w:r>
      <w:r w:rsidR="00E86000">
        <w:rPr>
          <w:rFonts w:ascii="Times New Roman" w:hAnsi="Times New Roman" w:cs="Times New Roman"/>
          <w:color w:val="FF0000"/>
        </w:rPr>
        <w:t xml:space="preserve">, and not one we could find in our records </w:t>
      </w:r>
      <w:r w:rsidR="00B859FB">
        <w:rPr>
          <w:rFonts w:ascii="Times New Roman" w:hAnsi="Times New Roman" w:cs="Times New Roman"/>
          <w:color w:val="FF0000"/>
        </w:rPr>
        <w:t>(any that existed were probably in the earl</w:t>
      </w:r>
      <w:r w:rsidR="00E90DC0">
        <w:rPr>
          <w:rFonts w:ascii="Times New Roman" w:hAnsi="Times New Roman" w:cs="Times New Roman"/>
          <w:color w:val="FF0000"/>
        </w:rPr>
        <w:t>ier</w:t>
      </w:r>
      <w:r w:rsidR="00B859FB">
        <w:rPr>
          <w:rFonts w:ascii="Times New Roman" w:hAnsi="Times New Roman" w:cs="Times New Roman"/>
          <w:color w:val="FF0000"/>
        </w:rPr>
        <w:t xml:space="preserve"> days of the product and before we implemented our </w:t>
      </w:r>
      <w:r w:rsidR="00202D92">
        <w:rPr>
          <w:rFonts w:ascii="Times New Roman" w:hAnsi="Times New Roman" w:cs="Times New Roman"/>
          <w:color w:val="FF0000"/>
        </w:rPr>
        <w:t xml:space="preserve">software </w:t>
      </w:r>
      <w:r w:rsidR="00B859FB">
        <w:rPr>
          <w:rFonts w:ascii="Times New Roman" w:hAnsi="Times New Roman" w:cs="Times New Roman"/>
          <w:color w:val="FF0000"/>
        </w:rPr>
        <w:t>tracking system in 2014)</w:t>
      </w:r>
      <w:r w:rsidR="00E86000">
        <w:rPr>
          <w:rFonts w:ascii="Times New Roman" w:hAnsi="Times New Roman" w:cs="Times New Roman"/>
          <w:color w:val="FF0000"/>
        </w:rPr>
        <w:t>.   Most installation issues are identified at the time of installation by the various internal database constraints and checks.</w:t>
      </w:r>
    </w:p>
    <w:p w14:paraId="73A92B42" w14:textId="28FC6A8E" w:rsidR="009918B8" w:rsidRDefault="00CE59B3" w:rsidP="009918B8">
      <w:pPr>
        <w:pStyle w:val="ListParagraph"/>
        <w:spacing w:line="276" w:lineRule="auto"/>
        <w:jc w:val="both"/>
        <w:rPr>
          <w:rFonts w:ascii="Times New Roman" w:hAnsi="Times New Roman" w:cs="Times New Roman"/>
          <w:color w:val="FF0000"/>
        </w:rPr>
      </w:pPr>
      <w:r w:rsidRPr="00CE59B3">
        <w:rPr>
          <w:rFonts w:ascii="Times New Roman" w:hAnsi="Times New Roman" w:cs="Times New Roman"/>
          <w:color w:val="FF0000"/>
        </w:rPr>
        <w:br/>
      </w:r>
      <w:r>
        <w:rPr>
          <w:rFonts w:ascii="Times New Roman" w:hAnsi="Times New Roman" w:cs="Times New Roman"/>
          <w:color w:val="FF0000"/>
        </w:rPr>
        <w:t>For these cases (successful installation, but a significant issue presents itself)</w:t>
      </w:r>
      <w:r w:rsidR="009918B8">
        <w:rPr>
          <w:rFonts w:ascii="Times New Roman" w:hAnsi="Times New Roman" w:cs="Times New Roman"/>
          <w:color w:val="FF0000"/>
        </w:rPr>
        <w:t xml:space="preserve"> our update process prompts the user to perform a SQL database backup as part of the update (and would be performed prior to any update in the hosted system).  Should an error or problem be observed, the SQL database backup would be restored, and the old version loaded as the active version.   The SQL backup includes time records of the last successful poll / task execution time, so backpolling would occur to ‘catch up’ the restored database to current condition.</w:t>
      </w:r>
    </w:p>
    <w:p w14:paraId="727E701C" w14:textId="2A7DAD73" w:rsidR="00661179" w:rsidRDefault="009918B8" w:rsidP="009918B8">
      <w:pPr>
        <w:pStyle w:val="ListParagraph"/>
        <w:spacing w:line="276" w:lineRule="auto"/>
        <w:jc w:val="both"/>
        <w:rPr>
          <w:rFonts w:ascii="Times New Roman" w:hAnsi="Times New Roman" w:cs="Times New Roman"/>
        </w:rPr>
      </w:pPr>
      <w:r w:rsidRPr="009918B8">
        <w:rPr>
          <w:rFonts w:ascii="Times New Roman" w:hAnsi="Times New Roman" w:cs="Times New Roman"/>
        </w:rPr>
        <w:br/>
      </w:r>
    </w:p>
    <w:p w14:paraId="3273D657" w14:textId="77777777" w:rsidR="00661179" w:rsidRDefault="00661179">
      <w:pPr>
        <w:rPr>
          <w:rFonts w:ascii="Times New Roman" w:hAnsi="Times New Roman" w:cs="Times New Roman"/>
        </w:rPr>
      </w:pPr>
      <w:r>
        <w:rPr>
          <w:rFonts w:ascii="Times New Roman" w:hAnsi="Times New Roman" w:cs="Times New Roman"/>
        </w:rPr>
        <w:br w:type="page"/>
      </w:r>
    </w:p>
    <w:p w14:paraId="6F36F5B9" w14:textId="77777777" w:rsidR="00674023" w:rsidRPr="009918B8" w:rsidRDefault="00674023" w:rsidP="009918B8">
      <w:pPr>
        <w:pStyle w:val="ListParagraph"/>
        <w:spacing w:line="276" w:lineRule="auto"/>
        <w:jc w:val="both"/>
        <w:rPr>
          <w:rFonts w:ascii="Times New Roman" w:hAnsi="Times New Roman" w:cs="Times New Roman"/>
        </w:rPr>
      </w:pPr>
    </w:p>
    <w:p w14:paraId="7CEB7DB0" w14:textId="08B0D48E" w:rsidR="009918B8" w:rsidRDefault="00674023" w:rsidP="00674023">
      <w:pPr>
        <w:pStyle w:val="ListParagraph"/>
        <w:numPr>
          <w:ilvl w:val="0"/>
          <w:numId w:val="6"/>
        </w:numPr>
        <w:spacing w:line="276" w:lineRule="auto"/>
        <w:jc w:val="both"/>
        <w:rPr>
          <w:rFonts w:ascii="Times New Roman" w:hAnsi="Times New Roman" w:cs="Times New Roman"/>
        </w:rPr>
      </w:pPr>
      <w:r w:rsidRPr="00674023">
        <w:rPr>
          <w:rFonts w:ascii="Times New Roman" w:hAnsi="Times New Roman" w:cs="Times New Roman"/>
        </w:rPr>
        <w:t>Are Clark County or Virginia using Agilaire existing tool for applying Slope/Intercepts to data or did this require an enhancement?</w:t>
      </w:r>
    </w:p>
    <w:p w14:paraId="02D70090" w14:textId="0D3D57E7" w:rsidR="009918B8" w:rsidRDefault="009918B8" w:rsidP="009918B8">
      <w:pPr>
        <w:pStyle w:val="ListParagraph"/>
        <w:spacing w:line="276" w:lineRule="auto"/>
        <w:jc w:val="both"/>
        <w:rPr>
          <w:rFonts w:ascii="Times New Roman" w:hAnsi="Times New Roman" w:cs="Times New Roman"/>
        </w:rPr>
      </w:pPr>
    </w:p>
    <w:p w14:paraId="0561E641" w14:textId="2D532387" w:rsidR="009918B8" w:rsidRDefault="009918B8" w:rsidP="009918B8">
      <w:pPr>
        <w:pStyle w:val="ListParagraph"/>
        <w:spacing w:line="276" w:lineRule="auto"/>
        <w:jc w:val="both"/>
        <w:rPr>
          <w:rFonts w:ascii="Times New Roman" w:hAnsi="Times New Roman" w:cs="Times New Roman"/>
          <w:color w:val="FF0000"/>
        </w:rPr>
      </w:pPr>
      <w:r>
        <w:rPr>
          <w:rFonts w:ascii="Times New Roman" w:hAnsi="Times New Roman" w:cs="Times New Roman"/>
          <w:color w:val="FF0000"/>
        </w:rPr>
        <w:t xml:space="preserve">This feature is activated in the VADEQ system, but </w:t>
      </w:r>
      <w:r w:rsidR="00837310">
        <w:rPr>
          <w:rFonts w:ascii="Times New Roman" w:hAnsi="Times New Roman" w:cs="Times New Roman"/>
          <w:color w:val="FF0000"/>
        </w:rPr>
        <w:t>DEQ has indicated to us they do not plan to use the utility due to their shift to digital data collection, and would make adjustments, if needed, in the analyzers.   They indicated they never used the tool in LEADS when LEADS was polling their old ESC 8816 loggers.</w:t>
      </w:r>
      <w:r>
        <w:rPr>
          <w:rFonts w:ascii="Times New Roman" w:hAnsi="Times New Roman" w:cs="Times New Roman"/>
          <w:color w:val="FF0000"/>
        </w:rPr>
        <w:t xml:space="preserve"> </w:t>
      </w:r>
    </w:p>
    <w:p w14:paraId="2464AF15" w14:textId="459D90AB" w:rsidR="00CE59B3" w:rsidRDefault="00CE59B3" w:rsidP="009918B8">
      <w:pPr>
        <w:pStyle w:val="ListParagraph"/>
        <w:spacing w:line="276" w:lineRule="auto"/>
        <w:jc w:val="both"/>
        <w:rPr>
          <w:rFonts w:ascii="Times New Roman" w:hAnsi="Times New Roman" w:cs="Times New Roman"/>
          <w:color w:val="FF0000"/>
        </w:rPr>
      </w:pPr>
    </w:p>
    <w:p w14:paraId="48C3DA5F" w14:textId="2978628E" w:rsidR="00CE59B3" w:rsidRDefault="00CE59B3" w:rsidP="009918B8">
      <w:pPr>
        <w:pStyle w:val="ListParagraph"/>
        <w:spacing w:line="276" w:lineRule="auto"/>
        <w:jc w:val="both"/>
        <w:rPr>
          <w:rFonts w:ascii="Times New Roman" w:hAnsi="Times New Roman" w:cs="Times New Roman"/>
          <w:color w:val="FF0000"/>
        </w:rPr>
      </w:pPr>
      <w:r>
        <w:rPr>
          <w:rFonts w:ascii="Times New Roman" w:hAnsi="Times New Roman" w:cs="Times New Roman"/>
          <w:color w:val="FF0000"/>
        </w:rPr>
        <w:t xml:space="preserve">Clark County also has the tool </w:t>
      </w:r>
      <w:r w:rsidR="0085603F">
        <w:rPr>
          <w:rFonts w:ascii="Times New Roman" w:hAnsi="Times New Roman" w:cs="Times New Roman"/>
          <w:color w:val="FF0000"/>
        </w:rPr>
        <w:t>enabled on their system</w:t>
      </w:r>
      <w:r>
        <w:rPr>
          <w:rFonts w:ascii="Times New Roman" w:hAnsi="Times New Roman" w:cs="Times New Roman"/>
          <w:color w:val="FF0000"/>
        </w:rPr>
        <w:t xml:space="preserve">, but </w:t>
      </w:r>
      <w:r w:rsidR="00661179">
        <w:rPr>
          <w:rFonts w:ascii="Times New Roman" w:hAnsi="Times New Roman" w:cs="Times New Roman"/>
          <w:color w:val="FF0000"/>
        </w:rPr>
        <w:t>indicates they have no</w:t>
      </w:r>
      <w:r>
        <w:rPr>
          <w:rFonts w:ascii="Times New Roman" w:hAnsi="Times New Roman" w:cs="Times New Roman"/>
          <w:color w:val="FF0000"/>
        </w:rPr>
        <w:t xml:space="preserve"> plan to use the tool.</w:t>
      </w:r>
      <w:r w:rsidR="00E05B90">
        <w:rPr>
          <w:rFonts w:ascii="Times New Roman" w:hAnsi="Times New Roman" w:cs="Times New Roman"/>
          <w:color w:val="FF0000"/>
        </w:rPr>
        <w:t xml:space="preserve">   </w:t>
      </w:r>
    </w:p>
    <w:p w14:paraId="2A06245A" w14:textId="48AD69BF" w:rsidR="00E05B90" w:rsidRDefault="00E05B90" w:rsidP="009918B8">
      <w:pPr>
        <w:pStyle w:val="ListParagraph"/>
        <w:spacing w:line="276" w:lineRule="auto"/>
        <w:jc w:val="both"/>
        <w:rPr>
          <w:rFonts w:ascii="Times New Roman" w:hAnsi="Times New Roman" w:cs="Times New Roman"/>
          <w:color w:val="FF0000"/>
        </w:rPr>
      </w:pPr>
    </w:p>
    <w:p w14:paraId="5F5E4ADE" w14:textId="1E834307" w:rsidR="009F75B3" w:rsidRDefault="00E05B90" w:rsidP="009F75B3">
      <w:pPr>
        <w:pStyle w:val="ListParagraph"/>
        <w:spacing w:line="276" w:lineRule="auto"/>
        <w:jc w:val="both"/>
        <w:rPr>
          <w:rFonts w:ascii="Times New Roman" w:hAnsi="Times New Roman" w:cs="Times New Roman"/>
          <w:color w:val="FF0000"/>
        </w:rPr>
      </w:pPr>
      <w:r>
        <w:rPr>
          <w:rFonts w:ascii="Times New Roman" w:hAnsi="Times New Roman" w:cs="Times New Roman"/>
          <w:color w:val="FF0000"/>
        </w:rPr>
        <w:t>It is our belief that the adjustment process in LEADS is an artifact of the old analog input circuitry, subject to aging and temperature drift, and so constant compensation of mV to engineering units</w:t>
      </w:r>
      <w:r w:rsidR="0085603F">
        <w:rPr>
          <w:rFonts w:ascii="Times New Roman" w:hAnsi="Times New Roman" w:cs="Times New Roman"/>
          <w:color w:val="FF0000"/>
        </w:rPr>
        <w:t xml:space="preserve"> formulas</w:t>
      </w:r>
      <w:r>
        <w:rPr>
          <w:rFonts w:ascii="Times New Roman" w:hAnsi="Times New Roman" w:cs="Times New Roman"/>
          <w:color w:val="FF0000"/>
        </w:rPr>
        <w:t xml:space="preserve"> were necessary to ensure stability for daily and weekly check results.   </w:t>
      </w:r>
      <w:r w:rsidR="00837310">
        <w:rPr>
          <w:rFonts w:ascii="Times New Roman" w:hAnsi="Times New Roman" w:cs="Times New Roman"/>
          <w:color w:val="FF0000"/>
        </w:rPr>
        <w:t>The fact that VADEQ found the utility unnecessary</w:t>
      </w:r>
      <w:r w:rsidR="0040100E">
        <w:rPr>
          <w:rFonts w:ascii="Times New Roman" w:hAnsi="Times New Roman" w:cs="Times New Roman"/>
          <w:color w:val="FF0000"/>
        </w:rPr>
        <w:t xml:space="preserve">, even when it was available in LEADS, </w:t>
      </w:r>
      <w:r w:rsidR="00837310">
        <w:rPr>
          <w:rFonts w:ascii="Times New Roman" w:hAnsi="Times New Roman" w:cs="Times New Roman"/>
          <w:color w:val="FF0000"/>
        </w:rPr>
        <w:t>is likely related to the design of the ESC 8816 analog section</w:t>
      </w:r>
      <w:r w:rsidR="0040100E">
        <w:rPr>
          <w:rFonts w:ascii="Times New Roman" w:hAnsi="Times New Roman" w:cs="Times New Roman"/>
          <w:color w:val="FF0000"/>
        </w:rPr>
        <w:t>.   The 8816 design had</w:t>
      </w:r>
      <w:r w:rsidR="00837310">
        <w:rPr>
          <w:rFonts w:ascii="Times New Roman" w:hAnsi="Times New Roman" w:cs="Times New Roman"/>
          <w:color w:val="FF0000"/>
        </w:rPr>
        <w:t xml:space="preserve"> internal auto-calibration of the analog section and hardware/firmware to compensate for temperature and age drift over the lifetime of the unit- likely features that the Sutron analog section lacked (it’s considerably more expensive to build that analog section design).</w:t>
      </w:r>
      <w:r w:rsidR="008F0EB5">
        <w:rPr>
          <w:rFonts w:ascii="Times New Roman" w:hAnsi="Times New Roman" w:cs="Times New Roman"/>
          <w:color w:val="FF0000"/>
        </w:rPr>
        <w:t xml:space="preserve"> </w:t>
      </w:r>
      <w:r w:rsidR="00837310">
        <w:rPr>
          <w:rFonts w:ascii="Times New Roman" w:hAnsi="Times New Roman" w:cs="Times New Roman"/>
          <w:color w:val="FF0000"/>
        </w:rPr>
        <w:t xml:space="preserve"> </w:t>
      </w:r>
      <w:r w:rsidR="008F0EB5">
        <w:rPr>
          <w:rFonts w:ascii="Times New Roman" w:hAnsi="Times New Roman" w:cs="Times New Roman"/>
          <w:color w:val="FF0000"/>
        </w:rPr>
        <w:t>Also, t</w:t>
      </w:r>
      <w:r>
        <w:rPr>
          <w:rFonts w:ascii="Times New Roman" w:hAnsi="Times New Roman" w:cs="Times New Roman"/>
          <w:color w:val="FF0000"/>
        </w:rPr>
        <w:t xml:space="preserve">he migration to digital data collection (as well as more modern and stable analyzers) </w:t>
      </w:r>
      <w:r w:rsidR="008F0EB5">
        <w:rPr>
          <w:rFonts w:ascii="Times New Roman" w:hAnsi="Times New Roman" w:cs="Times New Roman"/>
          <w:color w:val="FF0000"/>
        </w:rPr>
        <w:t xml:space="preserve">for these agencies likely </w:t>
      </w:r>
      <w:r>
        <w:rPr>
          <w:rFonts w:ascii="Times New Roman" w:hAnsi="Times New Roman" w:cs="Times New Roman"/>
          <w:color w:val="FF0000"/>
        </w:rPr>
        <w:t>renders the need for constant data adjustments obsolete.</w:t>
      </w:r>
    </w:p>
    <w:p w14:paraId="7BBD74FE" w14:textId="3F6B0163" w:rsidR="00674023" w:rsidRPr="009F75B3" w:rsidRDefault="00674023" w:rsidP="009F75B3">
      <w:pPr>
        <w:pStyle w:val="ListParagraph"/>
        <w:spacing w:line="276" w:lineRule="auto"/>
        <w:jc w:val="both"/>
        <w:rPr>
          <w:rFonts w:ascii="Times New Roman" w:hAnsi="Times New Roman" w:cs="Times New Roman"/>
        </w:rPr>
      </w:pPr>
    </w:p>
    <w:p w14:paraId="462E98B9" w14:textId="0FB2E543" w:rsidR="00D56C27" w:rsidRDefault="00D56C27" w:rsidP="00674023">
      <w:pPr>
        <w:pStyle w:val="ListParagraph"/>
        <w:numPr>
          <w:ilvl w:val="0"/>
          <w:numId w:val="6"/>
        </w:numPr>
        <w:spacing w:line="276" w:lineRule="auto"/>
        <w:jc w:val="both"/>
        <w:rPr>
          <w:rFonts w:ascii="Times New Roman" w:hAnsi="Times New Roman" w:cs="Times New Roman"/>
        </w:rPr>
      </w:pPr>
      <w:r w:rsidRPr="00D56C27">
        <w:rPr>
          <w:rFonts w:ascii="Times New Roman" w:hAnsi="Times New Roman" w:cs="Times New Roman"/>
        </w:rPr>
        <w:t>Will the AirVision be able to poll data concurrently with the LEADS? We are envision LEADS polling all sites until our contract ends with AirVision polling sites concurrently after each configure is completed and verified. </w:t>
      </w:r>
    </w:p>
    <w:p w14:paraId="5D11FD46" w14:textId="162E60A4" w:rsidR="007E64D2" w:rsidRDefault="007E64D2" w:rsidP="007E64D2">
      <w:pPr>
        <w:pStyle w:val="ListParagraph"/>
        <w:spacing w:line="276" w:lineRule="auto"/>
        <w:jc w:val="both"/>
        <w:rPr>
          <w:rFonts w:ascii="Times New Roman" w:hAnsi="Times New Roman" w:cs="Times New Roman"/>
        </w:rPr>
      </w:pPr>
    </w:p>
    <w:p w14:paraId="1D689EC7" w14:textId="77777777" w:rsidR="007E64D2" w:rsidRDefault="007E64D2" w:rsidP="007E64D2">
      <w:pPr>
        <w:pStyle w:val="ListParagraph"/>
        <w:spacing w:line="276" w:lineRule="auto"/>
        <w:jc w:val="both"/>
        <w:rPr>
          <w:rFonts w:ascii="Times New Roman" w:hAnsi="Times New Roman" w:cs="Times New Roman"/>
          <w:color w:val="FF0000"/>
        </w:rPr>
      </w:pPr>
      <w:r>
        <w:rPr>
          <w:rFonts w:ascii="Times New Roman" w:hAnsi="Times New Roman" w:cs="Times New Roman"/>
          <w:color w:val="FF0000"/>
        </w:rPr>
        <w:t xml:space="preserve">We can set AirVision to poll at particular polling time windows (e.g., if LEADS polls at 00:00 to 00:12, we can poll from 00:15-00:22, etc) to avoid conflict.   If LEADS polls every 5 minutes, then offsets can be done as well in a more granular fashion (AirVision can control each poll task to the second), but it’s possible that a communication outage </w:t>
      </w:r>
      <w:r w:rsidRPr="007E64D2">
        <w:rPr>
          <w:rFonts w:ascii="Times New Roman" w:hAnsi="Times New Roman" w:cs="Times New Roman"/>
          <w:color w:val="FF0000"/>
        </w:rPr>
        <w:t>could</w:t>
      </w:r>
      <w:r>
        <w:rPr>
          <w:rFonts w:ascii="Times New Roman" w:hAnsi="Times New Roman" w:cs="Times New Roman"/>
          <w:color w:val="FF0000"/>
        </w:rPr>
        <w:t xml:space="preserve"> cause backpoll times to overrun into each other’s time window.  In AirVision we can set the ‘maximum backpoll time’ to limit this, but it could mean data gaps until the system is completely switched over (e.g., if we set the max backpoll time to 2 hours to avoid overrunning a LEADS poll, and there is a comms outage of 3 hours, we would only collect the requisite 2 hours and there would be a 1-hour gap).  </w:t>
      </w:r>
    </w:p>
    <w:p w14:paraId="7FBA2F82" w14:textId="77777777" w:rsidR="007E64D2" w:rsidRDefault="007E64D2" w:rsidP="007E64D2">
      <w:pPr>
        <w:pStyle w:val="ListParagraph"/>
        <w:spacing w:line="276" w:lineRule="auto"/>
        <w:jc w:val="both"/>
        <w:rPr>
          <w:rFonts w:ascii="Times New Roman" w:hAnsi="Times New Roman" w:cs="Times New Roman"/>
          <w:color w:val="FF0000"/>
        </w:rPr>
      </w:pPr>
    </w:p>
    <w:p w14:paraId="0C3E30DF" w14:textId="519FEFAA" w:rsidR="007E64D2" w:rsidRPr="00674023" w:rsidRDefault="007E64D2" w:rsidP="007E64D2">
      <w:pPr>
        <w:pStyle w:val="ListParagraph"/>
        <w:spacing w:line="276" w:lineRule="auto"/>
        <w:jc w:val="both"/>
        <w:rPr>
          <w:rFonts w:ascii="Times New Roman" w:hAnsi="Times New Roman" w:cs="Times New Roman"/>
        </w:rPr>
      </w:pPr>
      <w:r w:rsidRPr="007E64D2">
        <w:rPr>
          <w:rFonts w:ascii="Times New Roman" w:hAnsi="Times New Roman" w:cs="Times New Roman"/>
          <w:color w:val="FF0000"/>
        </w:rPr>
        <w:t>There</w:t>
      </w:r>
      <w:r>
        <w:rPr>
          <w:rFonts w:ascii="Times New Roman" w:hAnsi="Times New Roman" w:cs="Times New Roman"/>
          <w:color w:val="FF0000"/>
        </w:rPr>
        <w:t xml:space="preserve"> may be some potential logic to managing the Operator Log records if LEADS or the Xpert2 internally ‘flags’ records as collected and conflicts with AirVision trying to collect records already flagged as collected by the LEADS poll.   More would need to be known about the Operator Log polling system to fully answer this definitively.</w:t>
      </w:r>
    </w:p>
    <w:p w14:paraId="7751606D" w14:textId="77777777" w:rsidR="008F1C68" w:rsidRPr="005C1E0E" w:rsidRDefault="008F1C68" w:rsidP="58B63E20">
      <w:pPr>
        <w:spacing w:line="276" w:lineRule="auto"/>
        <w:jc w:val="both"/>
        <w:rPr>
          <w:rFonts w:ascii="Times New Roman" w:hAnsi="Times New Roman" w:cs="Times New Roman"/>
        </w:rPr>
      </w:pPr>
    </w:p>
    <w:p w14:paraId="16ED5846" w14:textId="7E0B0D7C" w:rsidR="58B63E20" w:rsidRPr="005C1E0E" w:rsidRDefault="58B63E20" w:rsidP="58B63E20">
      <w:pPr>
        <w:spacing w:line="264" w:lineRule="auto"/>
        <w:rPr>
          <w:rFonts w:ascii="Times New Roman" w:eastAsia="Times New Roman" w:hAnsi="Times New Roman" w:cs="Times New Roman"/>
          <w:b/>
          <w:bCs/>
        </w:rPr>
      </w:pPr>
    </w:p>
    <w:p w14:paraId="682FE2E9" w14:textId="2983B432" w:rsidR="00F86179" w:rsidRDefault="00F86179">
      <w:pPr>
        <w:rPr>
          <w:rFonts w:ascii="Times New Roman" w:eastAsia="Times New Roman" w:hAnsi="Times New Roman" w:cs="Times New Roman"/>
        </w:rPr>
      </w:pPr>
      <w:r>
        <w:rPr>
          <w:rFonts w:ascii="Times New Roman" w:eastAsia="Times New Roman" w:hAnsi="Times New Roman" w:cs="Times New Roman"/>
        </w:rPr>
        <w:br w:type="page"/>
      </w:r>
    </w:p>
    <w:p w14:paraId="3CA4B1AA" w14:textId="19B14B57" w:rsidR="00742D18" w:rsidRDefault="00F86179" w:rsidP="58B63E20">
      <w:pPr>
        <w:rPr>
          <w:rFonts w:ascii="Times New Roman" w:eastAsia="Times New Roman" w:hAnsi="Times New Roman" w:cs="Times New Roman"/>
        </w:rPr>
      </w:pPr>
      <w:r>
        <w:rPr>
          <w:rFonts w:ascii="Times New Roman" w:eastAsia="Times New Roman" w:hAnsi="Times New Roman" w:cs="Times New Roman"/>
        </w:rPr>
        <w:lastRenderedPageBreak/>
        <w:t>Appendix A – Release Note Excerpts and Examples of Risk Management (per Question 1).</w:t>
      </w:r>
    </w:p>
    <w:tbl>
      <w:tblPr>
        <w:tblStyle w:val="TableGrid"/>
        <w:tblW w:w="0" w:type="auto"/>
        <w:tblLook w:val="04A0" w:firstRow="1" w:lastRow="0" w:firstColumn="1" w:lastColumn="0" w:noHBand="0" w:noVBand="1"/>
      </w:tblPr>
      <w:tblGrid>
        <w:gridCol w:w="4675"/>
        <w:gridCol w:w="4675"/>
      </w:tblGrid>
      <w:tr w:rsidR="00BB0E63" w14:paraId="7E88C6B4" w14:textId="77777777" w:rsidTr="00BB0E63">
        <w:tc>
          <w:tcPr>
            <w:tcW w:w="4675" w:type="dxa"/>
          </w:tcPr>
          <w:p w14:paraId="6FDAF53D" w14:textId="5B8EF619" w:rsidR="00BB0E63" w:rsidRPr="00BB0E63" w:rsidRDefault="00BB0E63" w:rsidP="58B63E20">
            <w:pPr>
              <w:rPr>
                <w:rFonts w:ascii="Times New Roman" w:eastAsia="Times New Roman" w:hAnsi="Times New Roman" w:cs="Times New Roman"/>
                <w:b/>
                <w:bCs/>
                <w:u w:val="single"/>
              </w:rPr>
            </w:pPr>
            <w:r w:rsidRPr="00BB0E63">
              <w:rPr>
                <w:rFonts w:ascii="Times New Roman" w:eastAsia="Times New Roman" w:hAnsi="Times New Roman" w:cs="Times New Roman"/>
                <w:b/>
                <w:bCs/>
                <w:u w:val="single"/>
              </w:rPr>
              <w:t>New Feature / Fix</w:t>
            </w:r>
          </w:p>
        </w:tc>
        <w:tc>
          <w:tcPr>
            <w:tcW w:w="4675" w:type="dxa"/>
          </w:tcPr>
          <w:p w14:paraId="3DFF19AD" w14:textId="5E88C3CC" w:rsidR="00BB0E63" w:rsidRPr="00BB0E63" w:rsidRDefault="00BB0E63" w:rsidP="58B63E20">
            <w:pPr>
              <w:rPr>
                <w:rFonts w:ascii="Times New Roman" w:eastAsia="Times New Roman" w:hAnsi="Times New Roman" w:cs="Times New Roman"/>
                <w:b/>
                <w:bCs/>
                <w:u w:val="single"/>
              </w:rPr>
            </w:pPr>
            <w:r w:rsidRPr="00BB0E63">
              <w:rPr>
                <w:rFonts w:ascii="Times New Roman" w:eastAsia="Times New Roman" w:hAnsi="Times New Roman" w:cs="Times New Roman"/>
                <w:b/>
                <w:bCs/>
                <w:u w:val="single"/>
              </w:rPr>
              <w:t>Risk Management Method</w:t>
            </w:r>
          </w:p>
        </w:tc>
      </w:tr>
      <w:tr w:rsidR="00BB0E63" w14:paraId="71190D00" w14:textId="77777777" w:rsidTr="00BB0E63">
        <w:tc>
          <w:tcPr>
            <w:tcW w:w="4675" w:type="dxa"/>
          </w:tcPr>
          <w:p w14:paraId="6C8171A1" w14:textId="77777777" w:rsidR="00BB0E63" w:rsidRPr="00901E4E" w:rsidRDefault="00BB0E63" w:rsidP="00BB0E63">
            <w:pPr>
              <w:rPr>
                <w:rFonts w:ascii="Arial" w:eastAsia="Calibri" w:hAnsi="Arial" w:cs="Arial"/>
                <w:b/>
                <w:sz w:val="20"/>
                <w:szCs w:val="20"/>
              </w:rPr>
            </w:pPr>
            <w:r>
              <w:rPr>
                <w:rFonts w:ascii="Arial" w:eastAsia="Calibri" w:hAnsi="Arial" w:cs="Arial"/>
                <w:sz w:val="20"/>
                <w:szCs w:val="20"/>
              </w:rPr>
              <w:t>The precision set on parameters will now be applied to the values on the Site Health Report.</w:t>
            </w:r>
          </w:p>
          <w:p w14:paraId="603BE4D2" w14:textId="77777777" w:rsidR="00BB0E63" w:rsidRDefault="00BB0E63" w:rsidP="58B63E20">
            <w:pPr>
              <w:rPr>
                <w:rFonts w:ascii="Times New Roman" w:eastAsia="Times New Roman" w:hAnsi="Times New Roman" w:cs="Times New Roman"/>
              </w:rPr>
            </w:pPr>
          </w:p>
        </w:tc>
        <w:tc>
          <w:tcPr>
            <w:tcW w:w="4675" w:type="dxa"/>
          </w:tcPr>
          <w:p w14:paraId="74C628D3" w14:textId="3628DDBA" w:rsidR="00BB0E63" w:rsidRDefault="00BB0E63" w:rsidP="58B63E20">
            <w:pPr>
              <w:rPr>
                <w:rFonts w:ascii="Times New Roman" w:eastAsia="Times New Roman" w:hAnsi="Times New Roman" w:cs="Times New Roman"/>
              </w:rPr>
            </w:pPr>
            <w:r>
              <w:rPr>
                <w:rFonts w:ascii="Times New Roman" w:eastAsia="Times New Roman" w:hAnsi="Times New Roman" w:cs="Times New Roman"/>
              </w:rPr>
              <w:t>This was a fix that clearly resolved an issue affecting all users.   Tested against test database system (issue cause identified and found not to be specific to any particular data case).</w:t>
            </w:r>
          </w:p>
        </w:tc>
      </w:tr>
      <w:tr w:rsidR="00BB0E63" w14:paraId="673EB393" w14:textId="77777777" w:rsidTr="00BB0E63">
        <w:tc>
          <w:tcPr>
            <w:tcW w:w="4675" w:type="dxa"/>
          </w:tcPr>
          <w:p w14:paraId="17435757" w14:textId="77777777" w:rsidR="00BB0E63" w:rsidRDefault="00BB0E63" w:rsidP="00BB0E63">
            <w:pPr>
              <w:rPr>
                <w:rFonts w:ascii="Arial" w:eastAsia="Calibri" w:hAnsi="Arial" w:cs="Arial"/>
                <w:sz w:val="20"/>
                <w:szCs w:val="20"/>
              </w:rPr>
            </w:pPr>
            <w:r>
              <w:rPr>
                <w:rFonts w:ascii="Arial" w:eastAsia="Calibri" w:hAnsi="Arial" w:cs="Arial"/>
                <w:sz w:val="20"/>
                <w:szCs w:val="20"/>
              </w:rPr>
              <w:t>A Work Item rescheduling issue, when the next scheduled date landed on a day excluded in the item configuration, has been resolved.</w:t>
            </w:r>
          </w:p>
          <w:p w14:paraId="6914BDFF" w14:textId="77777777" w:rsidR="00BB0E63" w:rsidRDefault="00BB0E63" w:rsidP="58B63E20">
            <w:pPr>
              <w:rPr>
                <w:rFonts w:ascii="Times New Roman" w:eastAsia="Times New Roman" w:hAnsi="Times New Roman" w:cs="Times New Roman"/>
              </w:rPr>
            </w:pPr>
          </w:p>
        </w:tc>
        <w:tc>
          <w:tcPr>
            <w:tcW w:w="4675" w:type="dxa"/>
          </w:tcPr>
          <w:p w14:paraId="0946E74D" w14:textId="77777777" w:rsidR="00BB0E63" w:rsidRDefault="00BB0E63" w:rsidP="58B63E20">
            <w:pPr>
              <w:rPr>
                <w:rFonts w:ascii="Times New Roman" w:eastAsia="Times New Roman" w:hAnsi="Times New Roman" w:cs="Times New Roman"/>
              </w:rPr>
            </w:pPr>
            <w:r>
              <w:rPr>
                <w:rFonts w:ascii="Times New Roman" w:eastAsia="Times New Roman" w:hAnsi="Times New Roman" w:cs="Times New Roman"/>
              </w:rPr>
              <w:t>This was identified using a customer’s database (our initial test did not have a reschedule date which fell on an excluded Saturday/Sunday).  With the customer data, the root cause was identified, resolved, and retested.</w:t>
            </w:r>
          </w:p>
          <w:p w14:paraId="5BC9C95C" w14:textId="4D1A694F" w:rsidR="00F122FC" w:rsidRDefault="00F122FC" w:rsidP="58B63E20">
            <w:pPr>
              <w:rPr>
                <w:rFonts w:ascii="Times New Roman" w:eastAsia="Times New Roman" w:hAnsi="Times New Roman" w:cs="Times New Roman"/>
              </w:rPr>
            </w:pPr>
          </w:p>
        </w:tc>
      </w:tr>
      <w:tr w:rsidR="00BB0E63" w14:paraId="13172B88" w14:textId="77777777" w:rsidTr="00BB0E63">
        <w:tc>
          <w:tcPr>
            <w:tcW w:w="4675" w:type="dxa"/>
          </w:tcPr>
          <w:p w14:paraId="6B7BF07B" w14:textId="07F3FDD7" w:rsidR="00BB0E63" w:rsidRDefault="00BB0E63" w:rsidP="58B63E20">
            <w:pPr>
              <w:rPr>
                <w:rFonts w:ascii="Times New Roman" w:eastAsia="Times New Roman" w:hAnsi="Times New Roman" w:cs="Times New Roman"/>
              </w:rPr>
            </w:pPr>
            <w:r>
              <w:rPr>
                <w:rFonts w:ascii="Arial" w:eastAsia="Calibri" w:hAnsi="Arial" w:cs="Arial"/>
                <w:sz w:val="20"/>
                <w:szCs w:val="20"/>
              </w:rPr>
              <w:t>The ability to add annotations has been added to the Calibration Data Editor.  A Calibration Annotations report was also added to view the annotations.</w:t>
            </w:r>
          </w:p>
        </w:tc>
        <w:tc>
          <w:tcPr>
            <w:tcW w:w="4675" w:type="dxa"/>
          </w:tcPr>
          <w:p w14:paraId="053F2051" w14:textId="77777777" w:rsidR="00BB0E63" w:rsidRDefault="00BB0E63" w:rsidP="58B63E20">
            <w:pPr>
              <w:rPr>
                <w:rFonts w:ascii="Times New Roman" w:eastAsia="Times New Roman" w:hAnsi="Times New Roman" w:cs="Times New Roman"/>
              </w:rPr>
            </w:pPr>
            <w:r>
              <w:rPr>
                <w:rFonts w:ascii="Times New Roman" w:eastAsia="Times New Roman" w:hAnsi="Times New Roman" w:cs="Times New Roman"/>
              </w:rPr>
              <w:t>This is an additive feature that customers don’t have to use if not desired.  Data is stored in a separate table from regular calibration data, and so existing data cannot be affected.</w:t>
            </w:r>
          </w:p>
          <w:p w14:paraId="0CC595F9" w14:textId="00242229" w:rsidR="00F122FC" w:rsidRDefault="00F122FC" w:rsidP="58B63E20">
            <w:pPr>
              <w:rPr>
                <w:rFonts w:ascii="Times New Roman" w:eastAsia="Times New Roman" w:hAnsi="Times New Roman" w:cs="Times New Roman"/>
              </w:rPr>
            </w:pPr>
          </w:p>
        </w:tc>
      </w:tr>
      <w:tr w:rsidR="00BB0E63" w14:paraId="11B43E31" w14:textId="77777777" w:rsidTr="00BB0E63">
        <w:tc>
          <w:tcPr>
            <w:tcW w:w="4675" w:type="dxa"/>
          </w:tcPr>
          <w:p w14:paraId="7AEDAB1D" w14:textId="56251FE8" w:rsidR="00BB0E63" w:rsidRDefault="00BB0E63" w:rsidP="58B63E20">
            <w:pPr>
              <w:rPr>
                <w:rFonts w:ascii="Times New Roman" w:eastAsia="Times New Roman" w:hAnsi="Times New Roman" w:cs="Times New Roman"/>
              </w:rPr>
            </w:pPr>
            <w:r>
              <w:rPr>
                <w:rFonts w:ascii="Arial" w:eastAsia="Calibri" w:hAnsi="Arial" w:cs="Arial"/>
                <w:sz w:val="20"/>
                <w:szCs w:val="20"/>
              </w:rPr>
              <w:t>A new utility setting is available that if set, will lock the date/time field of the Assignment History area of the Asset Tracking editor</w:t>
            </w:r>
          </w:p>
        </w:tc>
        <w:tc>
          <w:tcPr>
            <w:tcW w:w="4675" w:type="dxa"/>
          </w:tcPr>
          <w:p w14:paraId="3C3A9B30" w14:textId="77777777" w:rsidR="00BB0E63" w:rsidRDefault="00BB0E63" w:rsidP="58B63E20">
            <w:pPr>
              <w:rPr>
                <w:rFonts w:ascii="Times New Roman" w:eastAsia="Times New Roman" w:hAnsi="Times New Roman" w:cs="Times New Roman"/>
              </w:rPr>
            </w:pPr>
            <w:r>
              <w:rPr>
                <w:rFonts w:ascii="Times New Roman" w:eastAsia="Times New Roman" w:hAnsi="Times New Roman" w:cs="Times New Roman"/>
              </w:rPr>
              <w:t>This feature is additive and requires additional configuration to enable.   The default in any system after upgrade is existing behavior.</w:t>
            </w:r>
          </w:p>
          <w:p w14:paraId="0ACA65E8" w14:textId="61C7775A" w:rsidR="00F122FC" w:rsidRDefault="00F122FC" w:rsidP="58B63E20">
            <w:pPr>
              <w:rPr>
                <w:rFonts w:ascii="Times New Roman" w:eastAsia="Times New Roman" w:hAnsi="Times New Roman" w:cs="Times New Roman"/>
              </w:rPr>
            </w:pPr>
          </w:p>
        </w:tc>
      </w:tr>
      <w:tr w:rsidR="00BB0E63" w14:paraId="4DB13161" w14:textId="77777777" w:rsidTr="00BB0E63">
        <w:tc>
          <w:tcPr>
            <w:tcW w:w="4675" w:type="dxa"/>
          </w:tcPr>
          <w:p w14:paraId="47D8964D" w14:textId="77777777" w:rsidR="00BB0E63" w:rsidRDefault="00BB0E63" w:rsidP="00BB0E63">
            <w:pPr>
              <w:tabs>
                <w:tab w:val="left" w:pos="900"/>
              </w:tabs>
              <w:rPr>
                <w:rFonts w:ascii="Arial" w:eastAsia="Calibri" w:hAnsi="Arial" w:cs="Arial"/>
                <w:sz w:val="20"/>
                <w:szCs w:val="20"/>
              </w:rPr>
            </w:pPr>
            <w:r>
              <w:rPr>
                <w:rFonts w:ascii="Arial" w:eastAsia="Calibri" w:hAnsi="Arial" w:cs="Arial"/>
                <w:sz w:val="20"/>
                <w:szCs w:val="20"/>
              </w:rPr>
              <w:t>A new executive service component (Stream Listener Service) has been added for support of instruments like the Thermo GM-5000 and Picarro.</w:t>
            </w:r>
          </w:p>
          <w:p w14:paraId="4AC28729" w14:textId="77777777" w:rsidR="00BB0E63" w:rsidRDefault="00BB0E63" w:rsidP="58B63E20">
            <w:pPr>
              <w:rPr>
                <w:rFonts w:ascii="Times New Roman" w:eastAsia="Times New Roman" w:hAnsi="Times New Roman" w:cs="Times New Roman"/>
              </w:rPr>
            </w:pPr>
          </w:p>
        </w:tc>
        <w:tc>
          <w:tcPr>
            <w:tcW w:w="4675" w:type="dxa"/>
          </w:tcPr>
          <w:p w14:paraId="23C813ED" w14:textId="2DBDB2E1" w:rsidR="00BB0E63" w:rsidRDefault="00BB0E63" w:rsidP="58B63E20">
            <w:pPr>
              <w:rPr>
                <w:rFonts w:ascii="Times New Roman" w:eastAsia="Times New Roman" w:hAnsi="Times New Roman" w:cs="Times New Roman"/>
              </w:rPr>
            </w:pPr>
            <w:r>
              <w:rPr>
                <w:rFonts w:ascii="Times New Roman" w:eastAsia="Times New Roman" w:hAnsi="Times New Roman" w:cs="Times New Roman"/>
              </w:rPr>
              <w:t>Additive feature, requires additional configuration to enable the feature and set up the instrument.</w:t>
            </w:r>
          </w:p>
        </w:tc>
      </w:tr>
      <w:tr w:rsidR="00BB0E63" w14:paraId="0D814F5E" w14:textId="77777777" w:rsidTr="00BB0E63">
        <w:tc>
          <w:tcPr>
            <w:tcW w:w="4675" w:type="dxa"/>
          </w:tcPr>
          <w:p w14:paraId="21C03E9E" w14:textId="2962D934" w:rsidR="00BB0E63" w:rsidRDefault="00BB0E63" w:rsidP="58B63E20">
            <w:pPr>
              <w:rPr>
                <w:rFonts w:ascii="Times New Roman" w:eastAsia="Times New Roman" w:hAnsi="Times New Roman" w:cs="Times New Roman"/>
              </w:rPr>
            </w:pPr>
            <w:r>
              <w:rPr>
                <w:rFonts w:ascii="Arial" w:eastAsia="Calibri" w:hAnsi="Arial" w:cs="Arial"/>
                <w:sz w:val="20"/>
                <w:szCs w:val="20"/>
              </w:rPr>
              <w:t>Average Data Rollup now supports standard deviation and coefficient of variation for block type averages.  Two were added to the general release (</w:t>
            </w:r>
            <w:r w:rsidRPr="00F26F57">
              <w:rPr>
                <w:rFonts w:ascii="Arial" w:eastAsia="Calibri" w:hAnsi="Arial" w:cs="Arial"/>
                <w:sz w:val="20"/>
                <w:szCs w:val="20"/>
              </w:rPr>
              <w:t>24h Coeff Of Variation</w:t>
            </w:r>
            <w:r>
              <w:rPr>
                <w:rFonts w:ascii="Arial" w:eastAsia="Calibri" w:hAnsi="Arial" w:cs="Arial"/>
                <w:sz w:val="20"/>
                <w:szCs w:val="20"/>
              </w:rPr>
              <w:t xml:space="preserve"> &amp; </w:t>
            </w:r>
            <w:r w:rsidRPr="00F26F57">
              <w:rPr>
                <w:rFonts w:ascii="Arial" w:eastAsia="Calibri" w:hAnsi="Arial" w:cs="Arial"/>
                <w:sz w:val="20"/>
                <w:szCs w:val="20"/>
              </w:rPr>
              <w:t>24h Standard Deviation</w:t>
            </w:r>
            <w:r>
              <w:rPr>
                <w:rFonts w:ascii="Arial" w:eastAsia="Calibri" w:hAnsi="Arial" w:cs="Arial"/>
                <w:sz w:val="20"/>
                <w:szCs w:val="20"/>
              </w:rPr>
              <w:t xml:space="preserve">).  </w:t>
            </w:r>
          </w:p>
        </w:tc>
        <w:tc>
          <w:tcPr>
            <w:tcW w:w="4675" w:type="dxa"/>
          </w:tcPr>
          <w:p w14:paraId="672EE7D9" w14:textId="7436589D" w:rsidR="00BB0E63" w:rsidRDefault="00BB0E63" w:rsidP="58B63E20">
            <w:pPr>
              <w:rPr>
                <w:rFonts w:ascii="Times New Roman" w:eastAsia="Times New Roman" w:hAnsi="Times New Roman" w:cs="Times New Roman"/>
              </w:rPr>
            </w:pPr>
            <w:r>
              <w:rPr>
                <w:rFonts w:ascii="Times New Roman" w:eastAsia="Times New Roman" w:hAnsi="Times New Roman" w:cs="Times New Roman"/>
              </w:rPr>
              <w:t>Additive feature, requires additional configuration to run.  Existing rollups programs received functional testing to ensure their logic was not affected.</w:t>
            </w:r>
          </w:p>
        </w:tc>
      </w:tr>
      <w:tr w:rsidR="00BB0E63" w14:paraId="5EADDB5E" w14:textId="77777777" w:rsidTr="00BB0E63">
        <w:tc>
          <w:tcPr>
            <w:tcW w:w="4675" w:type="dxa"/>
          </w:tcPr>
          <w:p w14:paraId="34CE9354" w14:textId="77777777" w:rsidR="00BB0E63" w:rsidRDefault="00BB0E63" w:rsidP="58B63E20">
            <w:pPr>
              <w:rPr>
                <w:rFonts w:ascii="Times New Roman" w:eastAsia="Times New Roman" w:hAnsi="Times New Roman" w:cs="Times New Roman"/>
              </w:rPr>
            </w:pPr>
          </w:p>
        </w:tc>
        <w:tc>
          <w:tcPr>
            <w:tcW w:w="4675" w:type="dxa"/>
          </w:tcPr>
          <w:p w14:paraId="73F6D09C" w14:textId="77777777" w:rsidR="00BB0E63" w:rsidRDefault="00BB0E63" w:rsidP="58B63E20">
            <w:pPr>
              <w:rPr>
                <w:rFonts w:ascii="Times New Roman" w:eastAsia="Times New Roman" w:hAnsi="Times New Roman" w:cs="Times New Roman"/>
              </w:rPr>
            </w:pPr>
          </w:p>
        </w:tc>
      </w:tr>
    </w:tbl>
    <w:p w14:paraId="41A3FF14" w14:textId="77777777" w:rsidR="00BB0E63" w:rsidRDefault="00BB0E63" w:rsidP="58B63E20">
      <w:pPr>
        <w:rPr>
          <w:rFonts w:ascii="Times New Roman" w:eastAsia="Times New Roman" w:hAnsi="Times New Roman" w:cs="Times New Roman"/>
        </w:rPr>
      </w:pPr>
    </w:p>
    <w:sectPr w:rsidR="00BB0E63" w:rsidSect="00742D18">
      <w:footerReference w:type="default" r:id="rId13"/>
      <w:footerReference w:type="first" r:id="rId14"/>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0FA80A" w14:textId="77777777" w:rsidR="007514CE" w:rsidRDefault="007514CE" w:rsidP="00D251B4">
      <w:pPr>
        <w:spacing w:after="0" w:line="240" w:lineRule="auto"/>
      </w:pPr>
      <w:r>
        <w:separator/>
      </w:r>
    </w:p>
  </w:endnote>
  <w:endnote w:type="continuationSeparator" w:id="0">
    <w:p w14:paraId="6B3A5800" w14:textId="77777777" w:rsidR="007514CE" w:rsidRDefault="007514CE" w:rsidP="00D251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Courier New&quot;">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6453505"/>
      <w:docPartObj>
        <w:docPartGallery w:val="Page Numbers (Bottom of Page)"/>
        <w:docPartUnique/>
      </w:docPartObj>
    </w:sdtPr>
    <w:sdtEndPr>
      <w:rPr>
        <w:noProof/>
      </w:rPr>
    </w:sdtEndPr>
    <w:sdtContent>
      <w:p w14:paraId="349329CF" w14:textId="01921DAE" w:rsidR="000A3FC5" w:rsidRDefault="000A3FC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ADF4897" w14:textId="77777777" w:rsidR="000C3BFF" w:rsidRDefault="000C3B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D0C0A" w14:textId="24EA0702" w:rsidR="00B12017" w:rsidRDefault="00B12017">
    <w:pPr>
      <w:pStyle w:val="Footer"/>
      <w:jc w:val="right"/>
    </w:pPr>
  </w:p>
  <w:p w14:paraId="7CFCC9DD" w14:textId="77777777" w:rsidR="000C3BFF" w:rsidRDefault="000C3B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14C69A" w14:textId="77777777" w:rsidR="007514CE" w:rsidRDefault="007514CE" w:rsidP="00D251B4">
      <w:pPr>
        <w:spacing w:after="0" w:line="240" w:lineRule="auto"/>
      </w:pPr>
      <w:r>
        <w:separator/>
      </w:r>
    </w:p>
  </w:footnote>
  <w:footnote w:type="continuationSeparator" w:id="0">
    <w:p w14:paraId="7630C52D" w14:textId="77777777" w:rsidR="007514CE" w:rsidRDefault="007514CE" w:rsidP="00D251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84E11"/>
    <w:multiLevelType w:val="hybridMultilevel"/>
    <w:tmpl w:val="FBBE72DE"/>
    <w:lvl w:ilvl="0" w:tplc="E21E4AB8">
      <w:start w:val="1"/>
      <w:numFmt w:val="decimal"/>
      <w:lvlText w:val="%1."/>
      <w:lvlJc w:val="left"/>
      <w:pPr>
        <w:ind w:left="1080" w:hanging="360"/>
      </w:pPr>
      <w:rPr>
        <w:b w:val="0"/>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6B1C43"/>
    <w:multiLevelType w:val="hybridMultilevel"/>
    <w:tmpl w:val="DB2E3398"/>
    <w:lvl w:ilvl="0" w:tplc="DEB20964">
      <w:start w:val="1"/>
      <w:numFmt w:val="bullet"/>
      <w:lvlText w:val="·"/>
      <w:lvlJc w:val="left"/>
      <w:pPr>
        <w:ind w:left="720" w:hanging="360"/>
      </w:pPr>
      <w:rPr>
        <w:rFonts w:ascii="Symbol" w:hAnsi="Symbol" w:hint="default"/>
      </w:rPr>
    </w:lvl>
    <w:lvl w:ilvl="1" w:tplc="A9B659A6">
      <w:start w:val="1"/>
      <w:numFmt w:val="bullet"/>
      <w:lvlText w:val="o"/>
      <w:lvlJc w:val="left"/>
      <w:pPr>
        <w:ind w:left="1440" w:hanging="360"/>
      </w:pPr>
      <w:rPr>
        <w:rFonts w:ascii="Courier New" w:hAnsi="Courier New" w:hint="default"/>
      </w:rPr>
    </w:lvl>
    <w:lvl w:ilvl="2" w:tplc="89ECBF22">
      <w:start w:val="1"/>
      <w:numFmt w:val="bullet"/>
      <w:lvlText w:val=""/>
      <w:lvlJc w:val="left"/>
      <w:pPr>
        <w:ind w:left="2160" w:hanging="360"/>
      </w:pPr>
      <w:rPr>
        <w:rFonts w:ascii="Wingdings" w:hAnsi="Wingdings" w:hint="default"/>
      </w:rPr>
    </w:lvl>
    <w:lvl w:ilvl="3" w:tplc="1704527A">
      <w:start w:val="1"/>
      <w:numFmt w:val="bullet"/>
      <w:lvlText w:val=""/>
      <w:lvlJc w:val="left"/>
      <w:pPr>
        <w:ind w:left="2880" w:hanging="360"/>
      </w:pPr>
      <w:rPr>
        <w:rFonts w:ascii="Symbol" w:hAnsi="Symbol" w:hint="default"/>
      </w:rPr>
    </w:lvl>
    <w:lvl w:ilvl="4" w:tplc="AA48F7FA">
      <w:start w:val="1"/>
      <w:numFmt w:val="bullet"/>
      <w:lvlText w:val="o"/>
      <w:lvlJc w:val="left"/>
      <w:pPr>
        <w:ind w:left="3600" w:hanging="360"/>
      </w:pPr>
      <w:rPr>
        <w:rFonts w:ascii="Courier New" w:hAnsi="Courier New" w:hint="default"/>
      </w:rPr>
    </w:lvl>
    <w:lvl w:ilvl="5" w:tplc="F4D8A1F8">
      <w:start w:val="1"/>
      <w:numFmt w:val="bullet"/>
      <w:lvlText w:val=""/>
      <w:lvlJc w:val="left"/>
      <w:pPr>
        <w:ind w:left="4320" w:hanging="360"/>
      </w:pPr>
      <w:rPr>
        <w:rFonts w:ascii="Wingdings" w:hAnsi="Wingdings" w:hint="default"/>
      </w:rPr>
    </w:lvl>
    <w:lvl w:ilvl="6" w:tplc="15DCF070">
      <w:start w:val="1"/>
      <w:numFmt w:val="bullet"/>
      <w:lvlText w:val=""/>
      <w:lvlJc w:val="left"/>
      <w:pPr>
        <w:ind w:left="5040" w:hanging="360"/>
      </w:pPr>
      <w:rPr>
        <w:rFonts w:ascii="Symbol" w:hAnsi="Symbol" w:hint="default"/>
      </w:rPr>
    </w:lvl>
    <w:lvl w:ilvl="7" w:tplc="8C28619A">
      <w:start w:val="1"/>
      <w:numFmt w:val="bullet"/>
      <w:lvlText w:val="o"/>
      <w:lvlJc w:val="left"/>
      <w:pPr>
        <w:ind w:left="5760" w:hanging="360"/>
      </w:pPr>
      <w:rPr>
        <w:rFonts w:ascii="Courier New" w:hAnsi="Courier New" w:hint="default"/>
      </w:rPr>
    </w:lvl>
    <w:lvl w:ilvl="8" w:tplc="E0EC708A">
      <w:start w:val="1"/>
      <w:numFmt w:val="bullet"/>
      <w:lvlText w:val=""/>
      <w:lvlJc w:val="left"/>
      <w:pPr>
        <w:ind w:left="6480" w:hanging="360"/>
      </w:pPr>
      <w:rPr>
        <w:rFonts w:ascii="Wingdings" w:hAnsi="Wingdings" w:hint="default"/>
      </w:rPr>
    </w:lvl>
  </w:abstractNum>
  <w:abstractNum w:abstractNumId="2" w15:restartNumberingAfterBreak="0">
    <w:nsid w:val="2C951450"/>
    <w:multiLevelType w:val="hybridMultilevel"/>
    <w:tmpl w:val="BF56C372"/>
    <w:lvl w:ilvl="0" w:tplc="4C5A678A">
      <w:start w:val="1"/>
      <w:numFmt w:val="decimal"/>
      <w:lvlText w:val="%1."/>
      <w:lvlJc w:val="left"/>
      <w:pPr>
        <w:ind w:left="1080" w:hanging="360"/>
      </w:pPr>
      <w:rPr>
        <w:i w: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2DE277F"/>
    <w:multiLevelType w:val="hybridMultilevel"/>
    <w:tmpl w:val="915E27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34E6B1A"/>
    <w:multiLevelType w:val="hybridMultilevel"/>
    <w:tmpl w:val="45264384"/>
    <w:lvl w:ilvl="0" w:tplc="7CC884B2">
      <w:start w:val="1"/>
      <w:numFmt w:val="decimal"/>
      <w:lvlText w:val="%1."/>
      <w:lvlJc w:val="left"/>
      <w:pPr>
        <w:ind w:left="720" w:hanging="360"/>
      </w:pPr>
    </w:lvl>
    <w:lvl w:ilvl="1" w:tplc="4146822E">
      <w:start w:val="1"/>
      <w:numFmt w:val="bullet"/>
      <w:lvlText w:val="o"/>
      <w:lvlJc w:val="left"/>
      <w:pPr>
        <w:ind w:left="1440" w:hanging="360"/>
      </w:pPr>
      <w:rPr>
        <w:rFonts w:ascii="&quot;Courier New&quot;" w:hAnsi="&quot;Courier New&quot;" w:hint="default"/>
      </w:rPr>
    </w:lvl>
    <w:lvl w:ilvl="2" w:tplc="98128C02">
      <w:start w:val="1"/>
      <w:numFmt w:val="lowerRoman"/>
      <w:lvlText w:val="%3."/>
      <w:lvlJc w:val="right"/>
      <w:pPr>
        <w:ind w:left="2160" w:hanging="180"/>
      </w:pPr>
    </w:lvl>
    <w:lvl w:ilvl="3" w:tplc="96BE66C4">
      <w:start w:val="1"/>
      <w:numFmt w:val="decimal"/>
      <w:lvlText w:val="%4."/>
      <w:lvlJc w:val="left"/>
      <w:pPr>
        <w:ind w:left="2880" w:hanging="360"/>
      </w:pPr>
    </w:lvl>
    <w:lvl w:ilvl="4" w:tplc="DC460DD6">
      <w:start w:val="1"/>
      <w:numFmt w:val="lowerLetter"/>
      <w:lvlText w:val="%5."/>
      <w:lvlJc w:val="left"/>
      <w:pPr>
        <w:ind w:left="3600" w:hanging="360"/>
      </w:pPr>
    </w:lvl>
    <w:lvl w:ilvl="5" w:tplc="17C0A518">
      <w:start w:val="1"/>
      <w:numFmt w:val="lowerRoman"/>
      <w:lvlText w:val="%6."/>
      <w:lvlJc w:val="right"/>
      <w:pPr>
        <w:ind w:left="4320" w:hanging="180"/>
      </w:pPr>
    </w:lvl>
    <w:lvl w:ilvl="6" w:tplc="0B588744">
      <w:start w:val="1"/>
      <w:numFmt w:val="decimal"/>
      <w:lvlText w:val="%7."/>
      <w:lvlJc w:val="left"/>
      <w:pPr>
        <w:ind w:left="5040" w:hanging="360"/>
      </w:pPr>
    </w:lvl>
    <w:lvl w:ilvl="7" w:tplc="C9C88666">
      <w:start w:val="1"/>
      <w:numFmt w:val="lowerLetter"/>
      <w:lvlText w:val="%8."/>
      <w:lvlJc w:val="left"/>
      <w:pPr>
        <w:ind w:left="5760" w:hanging="360"/>
      </w:pPr>
    </w:lvl>
    <w:lvl w:ilvl="8" w:tplc="58ECD2C8">
      <w:start w:val="1"/>
      <w:numFmt w:val="lowerRoman"/>
      <w:lvlText w:val="%9."/>
      <w:lvlJc w:val="right"/>
      <w:pPr>
        <w:ind w:left="6480" w:hanging="180"/>
      </w:pPr>
    </w:lvl>
  </w:abstractNum>
  <w:abstractNum w:abstractNumId="5" w15:restartNumberingAfterBreak="0">
    <w:nsid w:val="5E4074A4"/>
    <w:multiLevelType w:val="hybridMultilevel"/>
    <w:tmpl w:val="1A0EF23C"/>
    <w:lvl w:ilvl="0" w:tplc="7E226CA0">
      <w:start w:val="1"/>
      <w:numFmt w:val="bullet"/>
      <w:lvlText w:val="·"/>
      <w:lvlJc w:val="left"/>
      <w:pPr>
        <w:ind w:left="720" w:hanging="360"/>
      </w:pPr>
      <w:rPr>
        <w:rFonts w:ascii="Symbol" w:hAnsi="Symbol" w:hint="default"/>
      </w:rPr>
    </w:lvl>
    <w:lvl w:ilvl="1" w:tplc="B4B06568">
      <w:start w:val="1"/>
      <w:numFmt w:val="bullet"/>
      <w:lvlText w:val="o"/>
      <w:lvlJc w:val="left"/>
      <w:pPr>
        <w:ind w:left="1440" w:hanging="360"/>
      </w:pPr>
      <w:rPr>
        <w:rFonts w:ascii="Courier New" w:hAnsi="Courier New" w:hint="default"/>
      </w:rPr>
    </w:lvl>
    <w:lvl w:ilvl="2" w:tplc="DA2AF93A">
      <w:start w:val="1"/>
      <w:numFmt w:val="bullet"/>
      <w:lvlText w:val=""/>
      <w:lvlJc w:val="left"/>
      <w:pPr>
        <w:ind w:left="2160" w:hanging="360"/>
      </w:pPr>
      <w:rPr>
        <w:rFonts w:ascii="Wingdings" w:hAnsi="Wingdings" w:hint="default"/>
      </w:rPr>
    </w:lvl>
    <w:lvl w:ilvl="3" w:tplc="AB58BF10">
      <w:start w:val="1"/>
      <w:numFmt w:val="bullet"/>
      <w:lvlText w:val=""/>
      <w:lvlJc w:val="left"/>
      <w:pPr>
        <w:ind w:left="2880" w:hanging="360"/>
      </w:pPr>
      <w:rPr>
        <w:rFonts w:ascii="Symbol" w:hAnsi="Symbol" w:hint="default"/>
      </w:rPr>
    </w:lvl>
    <w:lvl w:ilvl="4" w:tplc="5126B0F0">
      <w:start w:val="1"/>
      <w:numFmt w:val="bullet"/>
      <w:lvlText w:val="o"/>
      <w:lvlJc w:val="left"/>
      <w:pPr>
        <w:ind w:left="3600" w:hanging="360"/>
      </w:pPr>
      <w:rPr>
        <w:rFonts w:ascii="Courier New" w:hAnsi="Courier New" w:hint="default"/>
      </w:rPr>
    </w:lvl>
    <w:lvl w:ilvl="5" w:tplc="5DCA9F8A">
      <w:start w:val="1"/>
      <w:numFmt w:val="bullet"/>
      <w:lvlText w:val=""/>
      <w:lvlJc w:val="left"/>
      <w:pPr>
        <w:ind w:left="4320" w:hanging="360"/>
      </w:pPr>
      <w:rPr>
        <w:rFonts w:ascii="Wingdings" w:hAnsi="Wingdings" w:hint="default"/>
      </w:rPr>
    </w:lvl>
    <w:lvl w:ilvl="6" w:tplc="23AE1A3E">
      <w:start w:val="1"/>
      <w:numFmt w:val="bullet"/>
      <w:lvlText w:val=""/>
      <w:lvlJc w:val="left"/>
      <w:pPr>
        <w:ind w:left="5040" w:hanging="360"/>
      </w:pPr>
      <w:rPr>
        <w:rFonts w:ascii="Symbol" w:hAnsi="Symbol" w:hint="default"/>
      </w:rPr>
    </w:lvl>
    <w:lvl w:ilvl="7" w:tplc="07BC0524">
      <w:start w:val="1"/>
      <w:numFmt w:val="bullet"/>
      <w:lvlText w:val="o"/>
      <w:lvlJc w:val="left"/>
      <w:pPr>
        <w:ind w:left="5760" w:hanging="360"/>
      </w:pPr>
      <w:rPr>
        <w:rFonts w:ascii="Courier New" w:hAnsi="Courier New" w:hint="default"/>
      </w:rPr>
    </w:lvl>
    <w:lvl w:ilvl="8" w:tplc="AAA64466">
      <w:start w:val="1"/>
      <w:numFmt w:val="bullet"/>
      <w:lvlText w:val=""/>
      <w:lvlJc w:val="left"/>
      <w:pPr>
        <w:ind w:left="6480" w:hanging="360"/>
      </w:pPr>
      <w:rPr>
        <w:rFonts w:ascii="Wingdings" w:hAnsi="Wingdings" w:hint="default"/>
      </w:rPr>
    </w:lvl>
  </w:abstractNum>
  <w:abstractNum w:abstractNumId="6" w15:restartNumberingAfterBreak="0">
    <w:nsid w:val="6264750B"/>
    <w:multiLevelType w:val="hybridMultilevel"/>
    <w:tmpl w:val="034CD21C"/>
    <w:lvl w:ilvl="0" w:tplc="35267898">
      <w:start w:val="1"/>
      <w:numFmt w:val="decimal"/>
      <w:lvlText w:val="%1."/>
      <w:lvlJc w:val="left"/>
      <w:pPr>
        <w:ind w:left="720" w:hanging="360"/>
      </w:pPr>
    </w:lvl>
    <w:lvl w:ilvl="1" w:tplc="C49C192A">
      <w:start w:val="1"/>
      <w:numFmt w:val="lowerLetter"/>
      <w:lvlText w:val="%2."/>
      <w:lvlJc w:val="left"/>
      <w:pPr>
        <w:ind w:left="1440" w:hanging="360"/>
      </w:pPr>
    </w:lvl>
    <w:lvl w:ilvl="2" w:tplc="A1D86560">
      <w:start w:val="1"/>
      <w:numFmt w:val="lowerRoman"/>
      <w:lvlText w:val="%3."/>
      <w:lvlJc w:val="right"/>
      <w:pPr>
        <w:ind w:left="2160" w:hanging="180"/>
      </w:pPr>
    </w:lvl>
    <w:lvl w:ilvl="3" w:tplc="97CC01FE">
      <w:start w:val="1"/>
      <w:numFmt w:val="decimal"/>
      <w:lvlText w:val="%4."/>
      <w:lvlJc w:val="left"/>
      <w:pPr>
        <w:ind w:left="2880" w:hanging="360"/>
      </w:pPr>
    </w:lvl>
    <w:lvl w:ilvl="4" w:tplc="AA60D246">
      <w:start w:val="1"/>
      <w:numFmt w:val="lowerLetter"/>
      <w:lvlText w:val="%5."/>
      <w:lvlJc w:val="left"/>
      <w:pPr>
        <w:ind w:left="3600" w:hanging="360"/>
      </w:pPr>
    </w:lvl>
    <w:lvl w:ilvl="5" w:tplc="6BCCE8B2">
      <w:start w:val="1"/>
      <w:numFmt w:val="lowerRoman"/>
      <w:lvlText w:val="%6."/>
      <w:lvlJc w:val="right"/>
      <w:pPr>
        <w:ind w:left="4320" w:hanging="180"/>
      </w:pPr>
    </w:lvl>
    <w:lvl w:ilvl="6" w:tplc="7C9AB456">
      <w:start w:val="1"/>
      <w:numFmt w:val="decimal"/>
      <w:lvlText w:val="%7."/>
      <w:lvlJc w:val="left"/>
      <w:pPr>
        <w:ind w:left="5040" w:hanging="360"/>
      </w:pPr>
    </w:lvl>
    <w:lvl w:ilvl="7" w:tplc="CF1AAD60">
      <w:start w:val="1"/>
      <w:numFmt w:val="lowerLetter"/>
      <w:lvlText w:val="%8."/>
      <w:lvlJc w:val="left"/>
      <w:pPr>
        <w:ind w:left="5760" w:hanging="360"/>
      </w:pPr>
    </w:lvl>
    <w:lvl w:ilvl="8" w:tplc="C39232E4">
      <w:start w:val="1"/>
      <w:numFmt w:val="lowerRoman"/>
      <w:lvlText w:val="%9."/>
      <w:lvlJc w:val="right"/>
      <w:pPr>
        <w:ind w:left="6480" w:hanging="180"/>
      </w:pPr>
    </w:lvl>
  </w:abstractNum>
  <w:abstractNum w:abstractNumId="7" w15:restartNumberingAfterBreak="0">
    <w:nsid w:val="6A0C099B"/>
    <w:multiLevelType w:val="hybridMultilevel"/>
    <w:tmpl w:val="51C4235E"/>
    <w:lvl w:ilvl="0" w:tplc="45E004BC">
      <w:start w:val="1"/>
      <w:numFmt w:val="decimal"/>
      <w:lvlText w:val="%1."/>
      <w:lvlJc w:val="left"/>
      <w:pPr>
        <w:ind w:left="720" w:hanging="360"/>
      </w:pPr>
    </w:lvl>
    <w:lvl w:ilvl="1" w:tplc="EFA42EF0">
      <w:start w:val="1"/>
      <w:numFmt w:val="lowerLetter"/>
      <w:lvlText w:val="%2."/>
      <w:lvlJc w:val="left"/>
      <w:pPr>
        <w:ind w:left="1440" w:hanging="360"/>
      </w:pPr>
    </w:lvl>
    <w:lvl w:ilvl="2" w:tplc="0096B53E">
      <w:start w:val="1"/>
      <w:numFmt w:val="lowerRoman"/>
      <w:lvlText w:val="%3."/>
      <w:lvlJc w:val="right"/>
      <w:pPr>
        <w:ind w:left="2160" w:hanging="180"/>
      </w:pPr>
    </w:lvl>
    <w:lvl w:ilvl="3" w:tplc="9050F644">
      <w:start w:val="1"/>
      <w:numFmt w:val="decimal"/>
      <w:lvlText w:val="%4."/>
      <w:lvlJc w:val="left"/>
      <w:pPr>
        <w:ind w:left="2880" w:hanging="360"/>
      </w:pPr>
    </w:lvl>
    <w:lvl w:ilvl="4" w:tplc="3FECCD76">
      <w:start w:val="1"/>
      <w:numFmt w:val="lowerLetter"/>
      <w:lvlText w:val="%5."/>
      <w:lvlJc w:val="left"/>
      <w:pPr>
        <w:ind w:left="3600" w:hanging="360"/>
      </w:pPr>
    </w:lvl>
    <w:lvl w:ilvl="5" w:tplc="BA587A62">
      <w:start w:val="1"/>
      <w:numFmt w:val="lowerRoman"/>
      <w:lvlText w:val="%6."/>
      <w:lvlJc w:val="right"/>
      <w:pPr>
        <w:ind w:left="4320" w:hanging="180"/>
      </w:pPr>
    </w:lvl>
    <w:lvl w:ilvl="6" w:tplc="8EFCCCD2">
      <w:start w:val="1"/>
      <w:numFmt w:val="decimal"/>
      <w:lvlText w:val="%7."/>
      <w:lvlJc w:val="left"/>
      <w:pPr>
        <w:ind w:left="5040" w:hanging="360"/>
      </w:pPr>
    </w:lvl>
    <w:lvl w:ilvl="7" w:tplc="53DEC654">
      <w:start w:val="1"/>
      <w:numFmt w:val="lowerLetter"/>
      <w:lvlText w:val="%8."/>
      <w:lvlJc w:val="left"/>
      <w:pPr>
        <w:ind w:left="5760" w:hanging="360"/>
      </w:pPr>
    </w:lvl>
    <w:lvl w:ilvl="8" w:tplc="33780808">
      <w:start w:val="1"/>
      <w:numFmt w:val="lowerRoman"/>
      <w:lvlText w:val="%9."/>
      <w:lvlJc w:val="right"/>
      <w:pPr>
        <w:ind w:left="6480" w:hanging="180"/>
      </w:pPr>
    </w:lvl>
  </w:abstractNum>
  <w:num w:numId="1">
    <w:abstractNumId w:val="1"/>
  </w:num>
  <w:num w:numId="2">
    <w:abstractNumId w:val="7"/>
  </w:num>
  <w:num w:numId="3">
    <w:abstractNumId w:val="4"/>
  </w:num>
  <w:num w:numId="4">
    <w:abstractNumId w:val="6"/>
  </w:num>
  <w:num w:numId="5">
    <w:abstractNumId w:val="5"/>
  </w:num>
  <w:num w:numId="6">
    <w:abstractNumId w:val="3"/>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CBE11FA"/>
    <w:rsid w:val="000125ED"/>
    <w:rsid w:val="00086FB5"/>
    <w:rsid w:val="000A3FC5"/>
    <w:rsid w:val="000B2492"/>
    <w:rsid w:val="000C3BFF"/>
    <w:rsid w:val="00150086"/>
    <w:rsid w:val="001570C5"/>
    <w:rsid w:val="00202D92"/>
    <w:rsid w:val="00212A69"/>
    <w:rsid w:val="00224960"/>
    <w:rsid w:val="00250F65"/>
    <w:rsid w:val="002564A7"/>
    <w:rsid w:val="00266415"/>
    <w:rsid w:val="002A58C5"/>
    <w:rsid w:val="002C367C"/>
    <w:rsid w:val="002D59CE"/>
    <w:rsid w:val="002E338E"/>
    <w:rsid w:val="002E33CF"/>
    <w:rsid w:val="003025AF"/>
    <w:rsid w:val="00317056"/>
    <w:rsid w:val="0032539C"/>
    <w:rsid w:val="003500BA"/>
    <w:rsid w:val="0036442B"/>
    <w:rsid w:val="0039176D"/>
    <w:rsid w:val="00395067"/>
    <w:rsid w:val="003D7BED"/>
    <w:rsid w:val="003F6FCF"/>
    <w:rsid w:val="0040100E"/>
    <w:rsid w:val="00406BC0"/>
    <w:rsid w:val="004128E3"/>
    <w:rsid w:val="00422907"/>
    <w:rsid w:val="00430D6C"/>
    <w:rsid w:val="00444345"/>
    <w:rsid w:val="00453CB3"/>
    <w:rsid w:val="0045504A"/>
    <w:rsid w:val="004E063F"/>
    <w:rsid w:val="004E108F"/>
    <w:rsid w:val="004F4CF4"/>
    <w:rsid w:val="005650E2"/>
    <w:rsid w:val="005675E4"/>
    <w:rsid w:val="00580D79"/>
    <w:rsid w:val="005C1E0E"/>
    <w:rsid w:val="005E08E2"/>
    <w:rsid w:val="005F3EB4"/>
    <w:rsid w:val="00606BB2"/>
    <w:rsid w:val="006205C2"/>
    <w:rsid w:val="006335CD"/>
    <w:rsid w:val="006579E6"/>
    <w:rsid w:val="00661179"/>
    <w:rsid w:val="00674023"/>
    <w:rsid w:val="00685C74"/>
    <w:rsid w:val="006D4A04"/>
    <w:rsid w:val="006E12F8"/>
    <w:rsid w:val="006F7AC3"/>
    <w:rsid w:val="00742D18"/>
    <w:rsid w:val="007514CE"/>
    <w:rsid w:val="00763836"/>
    <w:rsid w:val="007C2FDD"/>
    <w:rsid w:val="007E64D2"/>
    <w:rsid w:val="00837310"/>
    <w:rsid w:val="0084285C"/>
    <w:rsid w:val="008527EE"/>
    <w:rsid w:val="008542A1"/>
    <w:rsid w:val="0085476A"/>
    <w:rsid w:val="0085603F"/>
    <w:rsid w:val="0085697F"/>
    <w:rsid w:val="00862C21"/>
    <w:rsid w:val="008800FB"/>
    <w:rsid w:val="0088448C"/>
    <w:rsid w:val="00886F94"/>
    <w:rsid w:val="0089442E"/>
    <w:rsid w:val="00895651"/>
    <w:rsid w:val="00897CFB"/>
    <w:rsid w:val="008C667C"/>
    <w:rsid w:val="008D737A"/>
    <w:rsid w:val="008F0EB5"/>
    <w:rsid w:val="008F1C68"/>
    <w:rsid w:val="00924BCC"/>
    <w:rsid w:val="00965C2F"/>
    <w:rsid w:val="00986374"/>
    <w:rsid w:val="009918B8"/>
    <w:rsid w:val="009D1E48"/>
    <w:rsid w:val="009F453A"/>
    <w:rsid w:val="009F7293"/>
    <w:rsid w:val="009F75B3"/>
    <w:rsid w:val="00A02F4C"/>
    <w:rsid w:val="00A27E56"/>
    <w:rsid w:val="00A84B03"/>
    <w:rsid w:val="00AB1880"/>
    <w:rsid w:val="00AC3159"/>
    <w:rsid w:val="00AF488F"/>
    <w:rsid w:val="00B06678"/>
    <w:rsid w:val="00B12017"/>
    <w:rsid w:val="00B24D2F"/>
    <w:rsid w:val="00B45AF0"/>
    <w:rsid w:val="00B47DA5"/>
    <w:rsid w:val="00B859FB"/>
    <w:rsid w:val="00B9259B"/>
    <w:rsid w:val="00BB0E63"/>
    <w:rsid w:val="00BB4D74"/>
    <w:rsid w:val="00BC4F56"/>
    <w:rsid w:val="00BD0A39"/>
    <w:rsid w:val="00BD2EEF"/>
    <w:rsid w:val="00BD6FFD"/>
    <w:rsid w:val="00BF2273"/>
    <w:rsid w:val="00C05619"/>
    <w:rsid w:val="00C44579"/>
    <w:rsid w:val="00C5049E"/>
    <w:rsid w:val="00C61D5E"/>
    <w:rsid w:val="00CE025F"/>
    <w:rsid w:val="00CE59B3"/>
    <w:rsid w:val="00D0781A"/>
    <w:rsid w:val="00D251B4"/>
    <w:rsid w:val="00D377A7"/>
    <w:rsid w:val="00D56C27"/>
    <w:rsid w:val="00D603CB"/>
    <w:rsid w:val="00D65796"/>
    <w:rsid w:val="00D71503"/>
    <w:rsid w:val="00D764D6"/>
    <w:rsid w:val="00D775E4"/>
    <w:rsid w:val="00D8488F"/>
    <w:rsid w:val="00DA6FA5"/>
    <w:rsid w:val="00DA7D5D"/>
    <w:rsid w:val="00DF3407"/>
    <w:rsid w:val="00E05B90"/>
    <w:rsid w:val="00E07F61"/>
    <w:rsid w:val="00E572AB"/>
    <w:rsid w:val="00E678E1"/>
    <w:rsid w:val="00E84163"/>
    <w:rsid w:val="00E86000"/>
    <w:rsid w:val="00E90DC0"/>
    <w:rsid w:val="00EA593F"/>
    <w:rsid w:val="00EE2601"/>
    <w:rsid w:val="00EE5A78"/>
    <w:rsid w:val="00F122FC"/>
    <w:rsid w:val="00F86179"/>
    <w:rsid w:val="00FA1410"/>
    <w:rsid w:val="00FB33F2"/>
    <w:rsid w:val="00FC1E0A"/>
    <w:rsid w:val="02C7DDBD"/>
    <w:rsid w:val="03D92840"/>
    <w:rsid w:val="05DECF39"/>
    <w:rsid w:val="07DBECA5"/>
    <w:rsid w:val="07F9DD6B"/>
    <w:rsid w:val="093E0D05"/>
    <w:rsid w:val="0AEE1AD5"/>
    <w:rsid w:val="0C89EB36"/>
    <w:rsid w:val="0CC8EDD8"/>
    <w:rsid w:val="0CCB561B"/>
    <w:rsid w:val="0E233827"/>
    <w:rsid w:val="12C18026"/>
    <w:rsid w:val="15118C5C"/>
    <w:rsid w:val="1709653C"/>
    <w:rsid w:val="17B03FFC"/>
    <w:rsid w:val="1D3ECF1D"/>
    <w:rsid w:val="1D4D5A71"/>
    <w:rsid w:val="20CB72B5"/>
    <w:rsid w:val="2499E60E"/>
    <w:rsid w:val="24B30E6B"/>
    <w:rsid w:val="2635B66F"/>
    <w:rsid w:val="27A26B0B"/>
    <w:rsid w:val="27C11D66"/>
    <w:rsid w:val="27DD3201"/>
    <w:rsid w:val="2837166E"/>
    <w:rsid w:val="295F92FF"/>
    <w:rsid w:val="2A2FF3C6"/>
    <w:rsid w:val="2A718156"/>
    <w:rsid w:val="2B40BD31"/>
    <w:rsid w:val="32AD438F"/>
    <w:rsid w:val="3308E426"/>
    <w:rsid w:val="35E0BE4A"/>
    <w:rsid w:val="3824DC27"/>
    <w:rsid w:val="3A48482E"/>
    <w:rsid w:val="3C2E9D99"/>
    <w:rsid w:val="3C5210F1"/>
    <w:rsid w:val="3CA9E0E6"/>
    <w:rsid w:val="3CC30943"/>
    <w:rsid w:val="40A2EAD1"/>
    <w:rsid w:val="427E0D71"/>
    <w:rsid w:val="44414842"/>
    <w:rsid w:val="48153059"/>
    <w:rsid w:val="48440CA7"/>
    <w:rsid w:val="4A10A466"/>
    <w:rsid w:val="4A74395B"/>
    <w:rsid w:val="4A9CD627"/>
    <w:rsid w:val="4B4CD11B"/>
    <w:rsid w:val="4DB3C7A3"/>
    <w:rsid w:val="4E2670E9"/>
    <w:rsid w:val="4E59767C"/>
    <w:rsid w:val="4E5BD511"/>
    <w:rsid w:val="4F4F9804"/>
    <w:rsid w:val="4FC13341"/>
    <w:rsid w:val="50B34B97"/>
    <w:rsid w:val="50EB6865"/>
    <w:rsid w:val="5409E0CA"/>
    <w:rsid w:val="542C6A95"/>
    <w:rsid w:val="549AE74D"/>
    <w:rsid w:val="575AA9E9"/>
    <w:rsid w:val="58B63E20"/>
    <w:rsid w:val="632B9AD8"/>
    <w:rsid w:val="64BBF792"/>
    <w:rsid w:val="675F92DC"/>
    <w:rsid w:val="68892317"/>
    <w:rsid w:val="6B1210B9"/>
    <w:rsid w:val="6C3303FF"/>
    <w:rsid w:val="6CBE11FA"/>
    <w:rsid w:val="6E3D2AFE"/>
    <w:rsid w:val="7137D04F"/>
    <w:rsid w:val="78EAF573"/>
    <w:rsid w:val="7ACA9558"/>
    <w:rsid w:val="7AD5F434"/>
    <w:rsid w:val="7C6F1F3C"/>
    <w:rsid w:val="7C71C495"/>
    <w:rsid w:val="7E2009D9"/>
    <w:rsid w:val="7E99F7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BE11FA"/>
  <w15:chartTrackingRefBased/>
  <w15:docId w15:val="{320748F4-DAE1-4F8F-8D44-730251E47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rsid w:val="00D251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51B4"/>
  </w:style>
  <w:style w:type="paragraph" w:styleId="Footer">
    <w:name w:val="footer"/>
    <w:basedOn w:val="Normal"/>
    <w:link w:val="FooterChar"/>
    <w:uiPriority w:val="99"/>
    <w:unhideWhenUsed/>
    <w:rsid w:val="00D251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51B4"/>
  </w:style>
  <w:style w:type="table" w:styleId="TableGrid">
    <w:name w:val="Table Grid"/>
    <w:basedOn w:val="TableNormal"/>
    <w:uiPriority w:val="39"/>
    <w:rsid w:val="00BB0E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2850903">
      <w:bodyDiv w:val="1"/>
      <w:marLeft w:val="0"/>
      <w:marRight w:val="0"/>
      <w:marTop w:val="0"/>
      <w:marBottom w:val="0"/>
      <w:divBdr>
        <w:top w:val="none" w:sz="0" w:space="0" w:color="auto"/>
        <w:left w:val="none" w:sz="0" w:space="0" w:color="auto"/>
        <w:bottom w:val="none" w:sz="0" w:space="0" w:color="auto"/>
        <w:right w:val="none" w:sz="0" w:space="0" w:color="auto"/>
      </w:divBdr>
    </w:div>
    <w:div w:id="777062211">
      <w:bodyDiv w:val="1"/>
      <w:marLeft w:val="0"/>
      <w:marRight w:val="0"/>
      <w:marTop w:val="0"/>
      <w:marBottom w:val="0"/>
      <w:divBdr>
        <w:top w:val="none" w:sz="0" w:space="0" w:color="auto"/>
        <w:left w:val="none" w:sz="0" w:space="0" w:color="auto"/>
        <w:bottom w:val="none" w:sz="0" w:space="0" w:color="auto"/>
        <w:right w:val="none" w:sz="0" w:space="0" w:color="auto"/>
      </w:divBdr>
      <w:divsChild>
        <w:div w:id="1869368538">
          <w:marLeft w:val="0"/>
          <w:marRight w:val="0"/>
          <w:marTop w:val="0"/>
          <w:marBottom w:val="0"/>
          <w:divBdr>
            <w:top w:val="none" w:sz="0" w:space="0" w:color="auto"/>
            <w:left w:val="none" w:sz="0" w:space="0" w:color="auto"/>
            <w:bottom w:val="none" w:sz="0" w:space="0" w:color="auto"/>
            <w:right w:val="none" w:sz="0" w:space="0" w:color="auto"/>
          </w:divBdr>
        </w:div>
        <w:div w:id="1948124532">
          <w:marLeft w:val="0"/>
          <w:marRight w:val="0"/>
          <w:marTop w:val="0"/>
          <w:marBottom w:val="0"/>
          <w:divBdr>
            <w:top w:val="none" w:sz="0" w:space="0" w:color="auto"/>
            <w:left w:val="none" w:sz="0" w:space="0" w:color="auto"/>
            <w:bottom w:val="none" w:sz="0" w:space="0" w:color="auto"/>
            <w:right w:val="none" w:sz="0" w:space="0" w:color="auto"/>
          </w:divBdr>
        </w:div>
        <w:div w:id="1290742872">
          <w:marLeft w:val="0"/>
          <w:marRight w:val="0"/>
          <w:marTop w:val="0"/>
          <w:marBottom w:val="0"/>
          <w:divBdr>
            <w:top w:val="none" w:sz="0" w:space="0" w:color="auto"/>
            <w:left w:val="none" w:sz="0" w:space="0" w:color="auto"/>
            <w:bottom w:val="none" w:sz="0" w:space="0" w:color="auto"/>
            <w:right w:val="none" w:sz="0" w:space="0" w:color="auto"/>
          </w:divBdr>
        </w:div>
        <w:div w:id="1347562389">
          <w:marLeft w:val="0"/>
          <w:marRight w:val="0"/>
          <w:marTop w:val="0"/>
          <w:marBottom w:val="0"/>
          <w:divBdr>
            <w:top w:val="none" w:sz="0" w:space="0" w:color="auto"/>
            <w:left w:val="none" w:sz="0" w:space="0" w:color="auto"/>
            <w:bottom w:val="none" w:sz="0" w:space="0" w:color="auto"/>
            <w:right w:val="none" w:sz="0" w:space="0" w:color="auto"/>
          </w:divBdr>
        </w:div>
        <w:div w:id="112483913">
          <w:marLeft w:val="0"/>
          <w:marRight w:val="0"/>
          <w:marTop w:val="0"/>
          <w:marBottom w:val="0"/>
          <w:divBdr>
            <w:top w:val="none" w:sz="0" w:space="0" w:color="auto"/>
            <w:left w:val="none" w:sz="0" w:space="0" w:color="auto"/>
            <w:bottom w:val="none" w:sz="0" w:space="0" w:color="auto"/>
            <w:right w:val="none" w:sz="0" w:space="0" w:color="auto"/>
          </w:divBdr>
        </w:div>
      </w:divsChild>
    </w:div>
    <w:div w:id="857548436">
      <w:bodyDiv w:val="1"/>
      <w:marLeft w:val="0"/>
      <w:marRight w:val="0"/>
      <w:marTop w:val="0"/>
      <w:marBottom w:val="0"/>
      <w:divBdr>
        <w:top w:val="none" w:sz="0" w:space="0" w:color="auto"/>
        <w:left w:val="none" w:sz="0" w:space="0" w:color="auto"/>
        <w:bottom w:val="none" w:sz="0" w:space="0" w:color="auto"/>
        <w:right w:val="none" w:sz="0" w:space="0" w:color="auto"/>
      </w:divBdr>
      <w:divsChild>
        <w:div w:id="1729574984">
          <w:marLeft w:val="0"/>
          <w:marRight w:val="0"/>
          <w:marTop w:val="0"/>
          <w:marBottom w:val="0"/>
          <w:divBdr>
            <w:top w:val="none" w:sz="0" w:space="0" w:color="auto"/>
            <w:left w:val="none" w:sz="0" w:space="0" w:color="auto"/>
            <w:bottom w:val="none" w:sz="0" w:space="0" w:color="auto"/>
            <w:right w:val="none" w:sz="0" w:space="0" w:color="auto"/>
          </w:divBdr>
        </w:div>
        <w:div w:id="1196313948">
          <w:marLeft w:val="0"/>
          <w:marRight w:val="0"/>
          <w:marTop w:val="0"/>
          <w:marBottom w:val="0"/>
          <w:divBdr>
            <w:top w:val="none" w:sz="0" w:space="0" w:color="auto"/>
            <w:left w:val="none" w:sz="0" w:space="0" w:color="auto"/>
            <w:bottom w:val="none" w:sz="0" w:space="0" w:color="auto"/>
            <w:right w:val="none" w:sz="0" w:space="0" w:color="auto"/>
          </w:divBdr>
        </w:div>
        <w:div w:id="1450203947">
          <w:marLeft w:val="0"/>
          <w:marRight w:val="0"/>
          <w:marTop w:val="0"/>
          <w:marBottom w:val="0"/>
          <w:divBdr>
            <w:top w:val="none" w:sz="0" w:space="0" w:color="auto"/>
            <w:left w:val="none" w:sz="0" w:space="0" w:color="auto"/>
            <w:bottom w:val="none" w:sz="0" w:space="0" w:color="auto"/>
            <w:right w:val="none" w:sz="0" w:space="0" w:color="auto"/>
          </w:divBdr>
        </w:div>
        <w:div w:id="896402178">
          <w:marLeft w:val="0"/>
          <w:marRight w:val="0"/>
          <w:marTop w:val="0"/>
          <w:marBottom w:val="0"/>
          <w:divBdr>
            <w:top w:val="none" w:sz="0" w:space="0" w:color="auto"/>
            <w:left w:val="none" w:sz="0" w:space="0" w:color="auto"/>
            <w:bottom w:val="none" w:sz="0" w:space="0" w:color="auto"/>
            <w:right w:val="none" w:sz="0" w:space="0" w:color="auto"/>
          </w:divBdr>
        </w:div>
        <w:div w:id="17023656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teNelson@idoa.IN.gov"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A10A80DE9D10846BE47CAE99E19164C" ma:contentTypeVersion="6" ma:contentTypeDescription="Create a new document." ma:contentTypeScope="" ma:versionID="2b88f90673430e8956982a855151ce60">
  <xsd:schema xmlns:xsd="http://www.w3.org/2001/XMLSchema" xmlns:xs="http://www.w3.org/2001/XMLSchema" xmlns:p="http://schemas.microsoft.com/office/2006/metadata/properties" xmlns:ns2="7f22c1bf-4db9-470b-9d4a-58ad76a551f4" targetNamespace="http://schemas.microsoft.com/office/2006/metadata/properties" ma:root="true" ma:fieldsID="a256f31ff6aadf3a727cd00e6e8c6ea0" ns2:_="">
    <xsd:import namespace="7f22c1bf-4db9-470b-9d4a-58ad76a551f4"/>
    <xsd:element name="properties">
      <xsd:complexType>
        <xsd:sequence>
          <xsd:element name="documentManagement">
            <xsd:complexType>
              <xsd:all>
                <xsd:element ref="ns2:MediaServiceMetadata" minOccurs="0"/>
                <xsd:element ref="ns2:MediaServiceFastMetadata" minOccurs="0"/>
                <xsd:element ref="ns2:Status" minOccurs="0"/>
                <xsd:element ref="ns2:Category" minOccurs="0"/>
                <xsd:element ref="ns2:Subcategory"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22c1bf-4db9-470b-9d4a-58ad76a551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Status" ma:index="10" nillable="true" ma:displayName="Status" ma:format="Dropdown" ma:internalName="Status">
      <xsd:simpleType>
        <xsd:restriction base="dms:Choice">
          <xsd:enumeration value="Template"/>
          <xsd:enumeration value="Draft"/>
          <xsd:enumeration value="In Review"/>
          <xsd:enumeration value="Final"/>
        </xsd:restriction>
      </xsd:simpleType>
    </xsd:element>
    <xsd:element name="Category" ma:index="11" nillable="true" ma:displayName="Category" ma:format="Dropdown" ma:internalName="Category">
      <xsd:simpleType>
        <xsd:restriction base="dms:Text">
          <xsd:maxLength value="255"/>
        </xsd:restriction>
      </xsd:simpleType>
    </xsd:element>
    <xsd:element name="Subcategory" ma:index="12" nillable="true" ma:displayName="Subcategory" ma:internalName="Subcategory">
      <xsd:simpleType>
        <xsd:restriction base="dms:Text">
          <xsd:maxLength value="255"/>
        </xsd:restriction>
      </xsd:simpleType>
    </xsd:element>
    <xsd:element name="Comments" ma:index="13" nillable="true" ma:displayName="Comments" ma:format="Dropdown" ma:internalName="Comment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tatus xmlns="7f22c1bf-4db9-470b-9d4a-58ad76a551f4" xsi:nil="true"/>
    <Subcategory xmlns="7f22c1bf-4db9-470b-9d4a-58ad76a551f4" xsi:nil="true"/>
    <Category xmlns="7f22c1bf-4db9-470b-9d4a-58ad76a551f4" xsi:nil="true"/>
    <Comments xmlns="7f22c1bf-4db9-470b-9d4a-58ad76a551f4" xsi:nil="true"/>
  </documentManagement>
</p:properties>
</file>

<file path=customXml/itemProps1.xml><?xml version="1.0" encoding="utf-8"?>
<ds:datastoreItem xmlns:ds="http://schemas.openxmlformats.org/officeDocument/2006/customXml" ds:itemID="{9006D202-954E-4D97-8674-87E30641FEF9}">
  <ds:schemaRefs>
    <ds:schemaRef ds:uri="http://schemas.openxmlformats.org/officeDocument/2006/bibliography"/>
  </ds:schemaRefs>
</ds:datastoreItem>
</file>

<file path=customXml/itemProps2.xml><?xml version="1.0" encoding="utf-8"?>
<ds:datastoreItem xmlns:ds="http://schemas.openxmlformats.org/officeDocument/2006/customXml" ds:itemID="{F251A831-FA34-4B59-9673-659D3388E896}">
  <ds:schemaRefs>
    <ds:schemaRef ds:uri="http://schemas.microsoft.com/sharepoint/v3/contenttype/forms"/>
  </ds:schemaRefs>
</ds:datastoreItem>
</file>

<file path=customXml/itemProps3.xml><?xml version="1.0" encoding="utf-8"?>
<ds:datastoreItem xmlns:ds="http://schemas.openxmlformats.org/officeDocument/2006/customXml" ds:itemID="{CBDC4766-567B-4E0C-9FD7-C0A7FABD98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22c1bf-4db9-470b-9d4a-58ad76a551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712C445-3C20-4053-A4BE-19CE2D38112D}">
  <ds:schemaRefs>
    <ds:schemaRef ds:uri="http://schemas.microsoft.com/office/2006/metadata/properties"/>
    <ds:schemaRef ds:uri="http://schemas.microsoft.com/office/infopath/2007/PartnerControls"/>
    <ds:schemaRef ds:uri="7f22c1bf-4db9-470b-9d4a-58ad76a551f4"/>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5</Pages>
  <Words>1673</Words>
  <Characters>9537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Fish</dc:creator>
  <cp:keywords/>
  <dc:description/>
  <cp:lastModifiedBy>Steve Drevik</cp:lastModifiedBy>
  <cp:revision>26</cp:revision>
  <dcterms:created xsi:type="dcterms:W3CDTF">2021-05-25T04:01:00Z</dcterms:created>
  <dcterms:modified xsi:type="dcterms:W3CDTF">2021-05-25T15:00:00Z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0x0101006A10A80DE9D10846BE47CAE99E19164C</vt:lpwstr>
  </property>
</Properties>
</file>